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center"/>
        <w:spacing w:before="120" w:beforeAutospacing="0" w:after="120" w:afterAutospacing="0" w:line="360" w:lineRule="auto"/>
        <w:rPr>
          <w:rFonts w:ascii="Arial" w:hAnsi="Arial" w:cs="Arial"/>
          <w:b/>
          <w:color w:val="auto"/>
          <w:sz w:val="48"/>
          <w:szCs w:val="48"/>
          <w:highlight w:val="none"/>
        </w:rPr>
      </w:pPr>
      <w:r>
        <w:rPr>
          <w:rFonts w:ascii="Arial" w:hAnsi="Arial" w:cs="Arial"/>
          <w:b/>
          <w:color w:val="auto"/>
          <w:sz w:val="48"/>
          <w:szCs w:val="48"/>
          <w:highlight w:val="none"/>
        </w:rPr>
      </w:r>
      <w:r/>
    </w:p>
    <w:p>
      <w:pPr>
        <w:pStyle w:val="822"/>
        <w:jc w:val="center"/>
        <w:spacing w:before="120" w:beforeAutospacing="0" w:after="120" w:afterAutospacing="0" w:line="360" w:lineRule="auto"/>
        <w:rPr>
          <w:rFonts w:hint="eastAsia" w:ascii="Arial" w:hAnsi="Arial" w:cs="Arial" w:eastAsiaTheme="minorEastAsia"/>
          <w:b/>
          <w:bCs/>
          <w:color w:val="auto"/>
          <w:sz w:val="48"/>
          <w:szCs w:val="48"/>
          <w:highlight w:val="none"/>
          <w:lang w:eastAsia="zh-CN"/>
        </w:rPr>
      </w:pPr>
      <w:r>
        <w:rPr>
          <w:rFonts w:ascii="Arial" w:hAnsi="Arial" w:cs="Arial"/>
          <w:b/>
          <w:color w:val="auto"/>
          <w:sz w:val="48"/>
          <w:szCs w:val="48"/>
          <w:highlight w:val="none"/>
        </w:rPr>
        <w:t xml:space="preserve"> </w:t>
      </w:r>
      <w:r>
        <w:rPr>
          <w:rFonts w:hint="eastAsia" w:ascii="Arial" w:hAnsi="Arial" w:cs="Arial"/>
          <w:b/>
          <w:color w:val="auto"/>
          <w:sz w:val="48"/>
          <w:szCs w:val="48"/>
          <w:highlight w:val="none"/>
          <w:lang w:eastAsia="zh-CN"/>
        </w:rPr>
        <w:t xml:space="preserve">东台市中医院256排及64排CT维保</w:t>
      </w:r>
      <w:r>
        <w:rPr>
          <w:rFonts w:hint="eastAsia" w:ascii="Arial" w:hAnsi="Arial" w:cs="Arial" w:eastAsiaTheme="minorEastAsia"/>
          <w:b/>
          <w:color w:val="auto"/>
          <w:sz w:val="48"/>
          <w:szCs w:val="48"/>
          <w:highlight w:val="none"/>
          <w:lang w:eastAsia="zh-CN"/>
        </w:rPr>
      </w:r>
      <w:r/>
    </w:p>
    <w:p>
      <w:pPr>
        <w:pStyle w:val="822"/>
        <w:jc w:val="center"/>
        <w:spacing w:before="120" w:beforeAutospacing="0" w:after="120" w:afterAutospacing="0" w:line="360" w:lineRule="auto"/>
        <w:rPr>
          <w:rFonts w:hint="eastAsia" w:ascii="Arial" w:hAnsi="Arial" w:cs="Arial" w:eastAsiaTheme="minorEastAsia"/>
          <w:b/>
          <w:bCs/>
          <w:color w:val="auto"/>
          <w:sz w:val="48"/>
          <w:szCs w:val="48"/>
          <w:highlight w:val="none"/>
          <w:lang w:eastAsia="zh-CN"/>
        </w:rPr>
      </w:pPr>
      <w:r>
        <w:rPr>
          <w:rFonts w:hint="eastAsia" w:ascii="Arial" w:hAnsi="Arial" w:cs="Arial"/>
          <w:b/>
          <w:color w:val="auto"/>
          <w:sz w:val="48"/>
          <w:szCs w:val="48"/>
          <w:highlight w:val="none"/>
          <w:lang w:eastAsia="zh-CN"/>
        </w:rPr>
        <w:t xml:space="preserve">项目</w:t>
      </w:r>
      <w:r/>
    </w:p>
    <w:p>
      <w:pPr>
        <w:pStyle w:val="822"/>
        <w:jc w:val="center"/>
        <w:spacing w:before="120" w:beforeAutospacing="0" w:after="120" w:afterAutospacing="0" w:line="360" w:lineRule="auto"/>
        <w:rPr>
          <w:rFonts w:hint="eastAsia" w:ascii="Arial" w:hAnsi="Arial" w:cs="Arial"/>
          <w:b/>
          <w:color w:val="auto"/>
          <w:sz w:val="48"/>
          <w:szCs w:val="48"/>
          <w:highlight w:val="none"/>
        </w:rPr>
      </w:pPr>
      <w:r>
        <w:rPr>
          <w:rFonts w:hint="eastAsia" w:ascii="Arial" w:hAnsi="Arial" w:cs="Arial"/>
          <w:b/>
          <w:color w:val="auto"/>
          <w:sz w:val="48"/>
          <w:szCs w:val="48"/>
          <w:highlight w:val="none"/>
        </w:rPr>
      </w:r>
      <w:r/>
    </w:p>
    <w:p>
      <w:pPr>
        <w:pStyle w:val="822"/>
        <w:jc w:val="center"/>
        <w:spacing w:before="120" w:beforeAutospacing="0" w:after="120" w:afterAutospacing="0" w:line="360" w:lineRule="auto"/>
        <w:rPr>
          <w:rFonts w:hint="eastAsia" w:ascii="Arial" w:hAnsi="Arial" w:cs="Arial"/>
          <w:b/>
          <w:color w:val="auto"/>
          <w:sz w:val="48"/>
          <w:szCs w:val="48"/>
          <w:highlight w:val="none"/>
        </w:rPr>
      </w:pPr>
      <w:r>
        <w:rPr>
          <w:rFonts w:hint="eastAsia" w:ascii="Arial" w:hAnsi="Arial" w:cs="Arial"/>
          <w:b/>
          <w:color w:val="auto"/>
          <w:sz w:val="48"/>
          <w:szCs w:val="48"/>
          <w:highlight w:val="none"/>
        </w:rPr>
      </w:r>
      <w:r/>
    </w:p>
    <w:p>
      <w:pPr>
        <w:pStyle w:val="822"/>
        <w:jc w:val="center"/>
        <w:spacing w:before="120" w:beforeAutospacing="0" w:after="120" w:afterAutospacing="0" w:line="360" w:lineRule="auto"/>
        <w:rPr>
          <w:color w:val="auto"/>
          <w:highlight w:val="none"/>
        </w:rPr>
      </w:pPr>
      <w:r>
        <w:rPr>
          <w:rFonts w:ascii="Arial" w:hAnsi="Arial" w:cs="Arial"/>
          <w:b/>
          <w:color w:val="auto"/>
          <w:sz w:val="84"/>
          <w:szCs w:val="84"/>
          <w:highlight w:val="none"/>
        </w:rPr>
        <w:t xml:space="preserve">招 标 文 件</w:t>
      </w:r>
      <w:r/>
    </w:p>
    <w:p>
      <w:pPr>
        <w:pStyle w:val="822"/>
        <w:ind w:left="2100" w:firstLine="161"/>
        <w:jc w:val="both"/>
        <w:spacing w:beforeAutospacing="0" w:afterAutospacing="0"/>
        <w:rPr>
          <w:color w:val="auto"/>
          <w:highlight w:val="none"/>
        </w:rPr>
      </w:pPr>
      <w:r>
        <w:rPr>
          <w:color w:val="auto"/>
          <w:highlight w:val="none"/>
        </w:rPr>
      </w:r>
      <w:r/>
    </w:p>
    <w:p>
      <w:pPr>
        <w:pStyle w:val="822"/>
        <w:ind w:left="2100" w:firstLine="161"/>
        <w:jc w:val="both"/>
        <w:spacing w:beforeAutospacing="0" w:afterAutospacing="0"/>
        <w:rPr>
          <w:color w:val="auto"/>
          <w:highlight w:val="none"/>
        </w:rPr>
      </w:pPr>
      <w:r>
        <w:rPr>
          <w:color w:val="auto"/>
          <w:highlight w:val="none"/>
        </w:rPr>
      </w:r>
      <w:r/>
    </w:p>
    <w:p>
      <w:pPr>
        <w:pStyle w:val="822"/>
        <w:spacing w:beforeAutospacing="0" w:afterAutospacing="0" w:line="360" w:lineRule="auto"/>
        <w:rPr>
          <w:color w:val="auto"/>
          <w:highlight w:val="none"/>
        </w:rPr>
      </w:pPr>
      <w:r>
        <w:rPr>
          <w:color w:val="auto"/>
          <w:highlight w:val="none"/>
        </w:rPr>
        <w:t xml:space="preserve"> </w:t>
      </w:r>
      <w:r/>
    </w:p>
    <w:p>
      <w:pPr>
        <w:pStyle w:val="822"/>
        <w:spacing w:beforeAutospacing="0" w:afterAutospacing="0" w:line="360" w:lineRule="auto"/>
        <w:rPr>
          <w:color w:val="auto"/>
          <w:highlight w:val="none"/>
        </w:rPr>
      </w:pPr>
      <w:r>
        <w:rPr>
          <w:color w:val="auto"/>
          <w:highlight w:val="none"/>
        </w:rPr>
        <w:t xml:space="preserve"> </w:t>
      </w:r>
      <w:r/>
    </w:p>
    <w:p>
      <w:pPr>
        <w:pStyle w:val="822"/>
        <w:spacing w:beforeAutospacing="0" w:afterAutospacing="0" w:line="360" w:lineRule="auto"/>
        <w:rPr>
          <w:color w:val="auto"/>
          <w:highlight w:val="none"/>
        </w:rPr>
      </w:pPr>
      <w:r>
        <w:rPr>
          <w:color w:val="auto"/>
          <w:highlight w:val="none"/>
        </w:rPr>
        <w:t xml:space="preserve"> </w:t>
      </w:r>
      <w:r/>
    </w:p>
    <w:p>
      <w:pPr>
        <w:pStyle w:val="822"/>
        <w:spacing w:beforeAutospacing="0" w:afterAutospacing="0" w:line="360" w:lineRule="auto"/>
        <w:rPr>
          <w:rFonts w:hint="eastAsia"/>
          <w:b/>
          <w:color w:val="auto"/>
          <w:sz w:val="31"/>
          <w:highlight w:val="none"/>
          <w:lang w:eastAsia="zh-CN"/>
        </w:rPr>
      </w:pPr>
      <w:r>
        <w:rPr>
          <w:color w:val="auto"/>
          <w:highlight w:val="none"/>
        </w:rPr>
        <w:t xml:space="preserve">  </w:t>
      </w:r>
      <w:r/>
    </w:p>
    <w:p>
      <w:pPr>
        <w:spacing w:line="480" w:lineRule="auto"/>
        <w:rPr>
          <w:rFonts w:hint="eastAsia"/>
          <w:b/>
          <w:color w:val="auto"/>
          <w:sz w:val="31"/>
          <w:highlight w:val="none"/>
          <w:lang w:eastAsia="zh-CN"/>
        </w:rPr>
        <w:outlineLvl w:val="0"/>
      </w:pPr>
      <w:r>
        <w:rPr>
          <w:rFonts w:hint="eastAsia"/>
          <w:b/>
          <w:color w:val="auto"/>
          <w:sz w:val="31"/>
          <w:highlight w:val="none"/>
          <w:lang w:eastAsia="zh-CN"/>
        </w:rPr>
      </w:r>
      <w:r/>
    </w:p>
    <w:p>
      <w:pPr>
        <w:spacing w:line="480" w:lineRule="auto"/>
        <w:rPr>
          <w:rFonts w:hint="eastAsia"/>
          <w:b/>
          <w:color w:val="auto"/>
          <w:sz w:val="31"/>
          <w:highlight w:val="none"/>
          <w:lang w:eastAsia="zh-CN"/>
        </w:rPr>
        <w:outlineLvl w:val="0"/>
      </w:pPr>
      <w:r>
        <w:rPr>
          <w:rFonts w:hint="eastAsia"/>
          <w:b/>
          <w:color w:val="auto"/>
          <w:sz w:val="31"/>
          <w:highlight w:val="none"/>
          <w:lang w:eastAsia="zh-CN"/>
        </w:rPr>
      </w:r>
      <w:r/>
    </w:p>
    <w:p>
      <w:pPr>
        <w:pStyle w:val="822"/>
        <w:ind w:firstLine="1285"/>
        <w:jc w:val="both"/>
        <w:spacing w:before="120" w:beforeAutospacing="0" w:after="120" w:afterAutospacing="0" w:line="360" w:lineRule="auto"/>
        <w:widowControl/>
        <w:rPr>
          <w:rFonts w:hint="eastAsia" w:ascii="Arial" w:hAnsi="Arial" w:eastAsia="宋体" w:cs="Arial"/>
          <w:b/>
          <w:color w:val="auto"/>
          <w:sz w:val="32"/>
          <w:szCs w:val="32"/>
          <w:highlight w:val="none"/>
          <w:lang w:eastAsia="zh-CN"/>
        </w:rPr>
      </w:pPr>
      <w:r>
        <w:rPr>
          <w:rFonts w:hint="eastAsia" w:ascii="Arial" w:hAnsi="Arial" w:eastAsia="宋体" w:cs="Arial"/>
          <w:b/>
          <w:color w:val="auto"/>
          <w:sz w:val="32"/>
          <w:szCs w:val="32"/>
          <w:highlight w:val="none"/>
        </w:rPr>
        <w:t xml:space="preserve">采购单位：</w:t>
      </w:r>
      <w:r>
        <w:rPr>
          <w:rFonts w:hint="eastAsia" w:ascii="Arial" w:hAnsi="Arial" w:eastAsia="宋体" w:cs="Arial"/>
          <w:b/>
          <w:color w:val="auto"/>
          <w:sz w:val="32"/>
          <w:szCs w:val="32"/>
          <w:highlight w:val="none"/>
          <w:lang w:eastAsia="zh-CN"/>
        </w:rPr>
        <w:t xml:space="preserve">东台市中医院</w:t>
      </w:r>
      <w:r/>
    </w:p>
    <w:p>
      <w:pPr>
        <w:pStyle w:val="822"/>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ascii="Arial" w:hAnsi="Arial" w:eastAsia="宋体" w:cs="Arial"/>
          <w:b/>
          <w:color w:val="auto"/>
          <w:sz w:val="32"/>
          <w:szCs w:val="32"/>
          <w:highlight w:val="none"/>
        </w:rPr>
      </w:r>
      <w:r/>
    </w:p>
    <w:p>
      <w:pPr>
        <w:pStyle w:val="822"/>
        <w:ind w:firstLine="1285"/>
        <w:jc w:val="both"/>
        <w:spacing w:before="120" w:beforeAutospacing="0" w:after="120" w:afterAutospacing="0" w:line="360" w:lineRule="auto"/>
        <w:widowControl/>
        <w:rPr>
          <w:rFonts w:ascii="Arial" w:hAnsi="Arial" w:eastAsia="宋体" w:cs="Arial"/>
          <w:b/>
          <w:color w:val="auto"/>
          <w:sz w:val="32"/>
          <w:szCs w:val="32"/>
          <w:highlight w:val="none"/>
        </w:rPr>
      </w:pPr>
      <w:r>
        <w:rPr>
          <w:rFonts w:hint="eastAsia" w:ascii="Arial" w:hAnsi="Arial" w:eastAsia="宋体" w:cs="Arial"/>
          <w:b/>
          <w:color w:val="auto"/>
          <w:sz w:val="32"/>
          <w:szCs w:val="32"/>
          <w:highlight w:val="none"/>
        </w:rPr>
        <w:t xml:space="preserve">采购代理机构：江苏策诚工程咨询有限公司</w:t>
      </w:r>
      <w:r/>
    </w:p>
    <w:p>
      <w:pPr>
        <w:pStyle w:val="82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2"/>
        <w:jc w:val="center"/>
        <w:spacing w:before="120" w:beforeAutospacing="0" w:after="120" w:afterAutospacing="0" w:line="360" w:lineRule="auto"/>
        <w:rPr>
          <w:color w:val="auto"/>
          <w:highlight w:val="none"/>
        </w:rPr>
      </w:pPr>
      <w:r>
        <w:rPr>
          <w:rFonts w:hint="eastAsia" w:ascii="Arial" w:hAnsi="Arial" w:cs="Arial"/>
          <w:b/>
          <w:color w:val="auto"/>
          <w:sz w:val="32"/>
          <w:szCs w:val="32"/>
          <w:highlight w:val="none"/>
        </w:rPr>
        <w:t xml:space="preserve">202</w:t>
      </w:r>
      <w:r>
        <w:rPr>
          <w:rFonts w:hint="eastAsia" w:ascii="Arial" w:hAnsi="Arial" w:cs="Arial"/>
          <w:b/>
          <w:color w:val="auto"/>
          <w:sz w:val="32"/>
          <w:szCs w:val="32"/>
          <w:highlight w:val="none"/>
          <w:lang w:val="en-US" w:eastAsia="zh-CN"/>
        </w:rPr>
        <w:t xml:space="preserve">6</w:t>
      </w:r>
      <w:r>
        <w:rPr>
          <w:rFonts w:ascii="Arial" w:hAnsi="Arial" w:cs="Arial"/>
          <w:b/>
          <w:color w:val="auto"/>
          <w:sz w:val="32"/>
          <w:szCs w:val="32"/>
          <w:highlight w:val="none"/>
        </w:rPr>
        <w:t xml:space="preserve">年</w:t>
      </w:r>
      <w:r>
        <w:rPr>
          <w:rFonts w:hint="eastAsia" w:ascii="Arial" w:hAnsi="Arial" w:cs="Arial"/>
          <w:b/>
          <w:color w:val="auto"/>
          <w:sz w:val="32"/>
          <w:szCs w:val="32"/>
          <w:highlight w:val="none"/>
          <w:lang w:val="en-US" w:eastAsia="zh-CN"/>
        </w:rPr>
        <w:t xml:space="preserve">1</w:t>
      </w:r>
      <w:r>
        <w:rPr>
          <w:rFonts w:ascii="Arial" w:hAnsi="Arial" w:cs="Arial"/>
          <w:b/>
          <w:color w:val="auto"/>
          <w:sz w:val="32"/>
          <w:szCs w:val="32"/>
          <w:highlight w:val="none"/>
        </w:rPr>
        <w:t xml:space="preserve">月</w:t>
      </w:r>
      <w:r>
        <w:rPr>
          <w:rFonts w:hint="eastAsia" w:ascii="Arial" w:hAnsi="Arial" w:cs="Arial"/>
          <w:b/>
          <w:color w:val="auto"/>
          <w:sz w:val="32"/>
          <w:szCs w:val="32"/>
          <w:highlight w:val="none"/>
          <w:lang w:val="en-US" w:eastAsia="zh-CN"/>
        </w:rPr>
        <w:t xml:space="preserve">21</w:t>
      </w:r>
      <w:r>
        <w:rPr>
          <w:rFonts w:ascii="Arial" w:hAnsi="Arial" w:cs="Arial"/>
          <w:b/>
          <w:color w:val="auto"/>
          <w:sz w:val="32"/>
          <w:szCs w:val="32"/>
          <w:highlight w:val="none"/>
        </w:rPr>
        <w:t xml:space="preserve">日</w:t>
      </w:r>
      <w:r/>
    </w:p>
    <w:p>
      <w:pPr>
        <w:pStyle w:val="82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2"/>
        <w:jc w:val="center"/>
        <w:spacing w:before="120" w:beforeAutospacing="0" w:after="120" w:afterAutospacing="0" w:line="360" w:lineRule="auto"/>
        <w:rPr>
          <w:rFonts w:ascii="Arial" w:hAnsi="Arial" w:cs="Arial"/>
          <w:b/>
          <w:color w:val="auto"/>
          <w:sz w:val="32"/>
          <w:szCs w:val="32"/>
          <w:highlight w:val="none"/>
        </w:rPr>
      </w:pPr>
      <w:r>
        <w:rPr>
          <w:rFonts w:ascii="Arial" w:hAnsi="Arial" w:cs="Arial"/>
          <w:b/>
          <w:color w:val="auto"/>
          <w:sz w:val="32"/>
          <w:szCs w:val="32"/>
          <w:highlight w:val="none"/>
        </w:rPr>
      </w:r>
      <w:r/>
    </w:p>
    <w:p>
      <w:pPr>
        <w:pStyle w:val="822"/>
        <w:jc w:val="center"/>
        <w:spacing w:beforeAutospacing="0" w:afterAutospacing="0" w:line="480" w:lineRule="auto"/>
        <w:rPr>
          <w:color w:val="auto"/>
          <w:highlight w:val="none"/>
        </w:rPr>
      </w:pPr>
      <w:r>
        <w:rPr>
          <w:rFonts w:ascii="Arial" w:hAnsi="Arial" w:cs="Arial"/>
          <w:color w:val="auto"/>
          <w:highlight w:val="none"/>
        </w:rPr>
        <w:t xml:space="preserve">         </w:t>
      </w:r>
      <w:r>
        <w:rPr>
          <w:rFonts w:ascii="Times New Roman" w:hAnsi="Times New Roman"/>
          <w:color w:val="auto"/>
          <w:sz w:val="21"/>
          <w:szCs w:val="21"/>
          <w:highlight w:val="none"/>
        </w:rPr>
        <w:t xml:space="preserve"> </w:t>
      </w:r>
      <w:bookmarkStart w:id="0" w:name="_Toc523127445"/>
      <w:r/>
      <w:bookmarkStart w:id="1" w:name="_Toc20823272"/>
      <w:r/>
      <w:bookmarkStart w:id="2" w:name="_Toc16938516"/>
      <w:r/>
      <w:bookmarkStart w:id="3" w:name="_Toc479757206"/>
      <w:r/>
      <w:bookmarkStart w:id="4" w:name="_Toc120614210"/>
      <w:r/>
      <w:bookmarkStart w:id="5" w:name="_Toc513029200"/>
      <w:r>
        <w:rPr>
          <w:rFonts w:ascii="Times New Roman" w:hAnsi="Times New Roman"/>
          <w:color w:val="auto"/>
          <w:sz w:val="21"/>
          <w:szCs w:val="21"/>
          <w:highlight w:val="none"/>
        </w:rPr>
        <w:t xml:space="preserve"> </w:t>
      </w:r>
      <w:r>
        <w:rPr>
          <w:rFonts w:ascii="黑体" w:hAnsi="宋体" w:eastAsia="黑体" w:cs="黑体"/>
          <w:b/>
          <w:color w:val="auto"/>
          <w:sz w:val="44"/>
          <w:szCs w:val="44"/>
          <w:highlight w:val="none"/>
        </w:rPr>
        <w:t xml:space="preserve">总  目  录</w:t>
      </w:r>
      <w:bookmarkEnd w:id="0"/>
      <w:r/>
      <w:bookmarkEnd w:id="1"/>
      <w:r/>
      <w:bookmarkEnd w:id="2"/>
      <w:r/>
      <w:bookmarkEnd w:id="3"/>
      <w:r/>
      <w:bookmarkEnd w:id="4"/>
      <w:r/>
      <w:bookmarkEnd w:id="5"/>
      <w:r/>
      <w:r/>
    </w:p>
    <w:p>
      <w:pPr>
        <w:pStyle w:val="822"/>
        <w:jc w:val="both"/>
        <w:spacing w:beforeAutospacing="0" w:afterAutospacing="0" w:line="480" w:lineRule="auto"/>
        <w:rPr>
          <w:color w:val="auto"/>
          <w:highlight w:val="none"/>
        </w:rPr>
      </w:pPr>
      <w:r>
        <w:rPr>
          <w:color w:val="auto"/>
          <w:highlight w:val="none"/>
        </w:rPr>
        <w:t xml:space="preserve"> </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lang w:val="en-US" w:eastAsia="zh-CN"/>
        </w:rPr>
        <w:t xml:space="preserve">招标公告</w:t>
      </w:r>
      <w:r>
        <w:rPr>
          <w:rFonts w:hint="eastAsia" w:ascii="黑体" w:hAnsi="宋体" w:eastAsia="黑体" w:cs="黑体"/>
          <w:color w:val="auto"/>
          <w:sz w:val="36"/>
          <w:szCs w:val="36"/>
          <w:highlight w:val="none"/>
        </w:rPr>
        <w:t xml:space="preserve">…………………………………… </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投标人须知…………………………………  </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合同文本……………………………………</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采购需求……………………………………</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评标方法与评标标准………………………</w:t>
      </w:r>
      <w:r/>
    </w:p>
    <w:p>
      <w:pPr>
        <w:pStyle w:val="822"/>
        <w:ind w:left="2160" w:hanging="1440"/>
        <w:jc w:val="both"/>
        <w:spacing w:beforeAutospacing="0" w:afterAutospacing="0" w:line="480" w:lineRule="auto"/>
        <w:tabs>
          <w:tab w:val="left" w:pos="1441" w:leader="none"/>
        </w:tabs>
        <w:rPr>
          <w:color w:val="auto"/>
          <w:highlight w:val="none"/>
        </w:rPr>
      </w:pPr>
      <w:r>
        <w:rPr>
          <w:rFonts w:hint="eastAsia" w:ascii="黑体" w:hAnsi="宋体" w:eastAsia="黑体" w:cs="黑体"/>
          <w:color w:val="auto"/>
          <w:sz w:val="36"/>
          <w:szCs w:val="36"/>
          <w:highlight w:val="none"/>
        </w:rPr>
        <w:t xml:space="preserve">投标文件格式………………………………</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center"/>
        <w:keepNext/>
        <w:spacing w:beforeAutospacing="0" w:afterAutospacing="0"/>
        <w:rPr>
          <w:rFonts w:hint="default" w:eastAsia="黑体"/>
          <w:color w:val="auto"/>
          <w:highlight w:val="none"/>
          <w:lang w:val="en-US" w:eastAsia="zh-CN"/>
        </w:rPr>
      </w:pPr>
      <w:r>
        <w:rPr>
          <w:rFonts w:hint="eastAsia" w:ascii="黑体" w:hAnsi="宋体" w:eastAsia="黑体" w:cs="黑体"/>
          <w:color w:val="auto"/>
          <w:sz w:val="44"/>
          <w:szCs w:val="44"/>
          <w:highlight w:val="none"/>
        </w:rPr>
        <w:t xml:space="preserve">第一章 </w:t>
      </w:r>
      <w:r>
        <w:rPr>
          <w:rFonts w:hint="eastAsia" w:ascii="黑体" w:hAnsi="宋体" w:eastAsia="黑体" w:cs="黑体"/>
          <w:color w:val="auto"/>
          <w:sz w:val="44"/>
          <w:szCs w:val="44"/>
          <w:highlight w:val="none"/>
          <w:lang w:val="en-US" w:eastAsia="zh-CN"/>
        </w:rPr>
        <w:t xml:space="preserve">招标公告</w:t>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lang w:eastAsia="zh-CN"/>
        </w:rPr>
        <w:t xml:space="preserve">东台市中医院256排及64排CT维保项目</w:t>
      </w:r>
      <w:r>
        <w:rPr>
          <w:rFonts w:hint="eastAsia" w:ascii="宋体" w:hAnsi="宋体" w:eastAsia="宋体" w:cs="宋体"/>
          <w:color w:val="auto"/>
          <w:highlight w:val="none"/>
          <w:u w:val="single"/>
        </w:rPr>
        <w:t xml:space="preserve">JSZC-320981-CCGC-G2026-0001</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招标项目的潜在投标人可在“苏采云”系统内免费下载（投标人必须在苏采云系统中获取采购文件，方能参与政府采购项目），并于</w:t>
      </w:r>
      <w:r>
        <w:rPr>
          <w:rFonts w:hint="eastAsia" w:ascii="宋体" w:hAnsi="宋体" w:eastAsia="宋体" w:cs="宋体"/>
          <w:color w:val="auto"/>
          <w:highlight w:val="none"/>
          <w:u w:val="single"/>
          <w:lang w:val="en-US" w:eastAsia="zh-CN"/>
        </w:rPr>
        <w:t xml:space="preserve">2026-2-12 15</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00</w:t>
      </w:r>
      <w:r>
        <w:rPr>
          <w:rFonts w:hint="eastAsia" w:ascii="宋体" w:hAnsi="宋体" w:eastAsia="宋体" w:cs="宋体"/>
          <w:color w:val="auto"/>
          <w:highlight w:val="none"/>
          <w:u w:val="single"/>
        </w:rPr>
        <w:t xml:space="preserve">（北京时间）</w:t>
      </w:r>
      <w:r>
        <w:rPr>
          <w:rFonts w:hint="eastAsia" w:ascii="宋体" w:hAnsi="宋体" w:eastAsia="宋体" w:cs="宋体"/>
          <w:color w:val="auto"/>
          <w:highlight w:val="none"/>
        </w:rPr>
        <w:t xml:space="preserve">前递交投标文件。</w:t>
      </w:r>
      <w:r/>
    </w:p>
    <w:p>
      <w:pPr>
        <w:pStyle w:val="82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6" w:name="_Toc35393621"/>
      <w:r/>
      <w:bookmarkStart w:id="7" w:name="_Toc28359002"/>
      <w:r/>
      <w:bookmarkStart w:id="8" w:name="_Hlk24379207"/>
      <w:r/>
      <w:bookmarkStart w:id="9" w:name="_Toc28359079"/>
      <w:r/>
      <w:bookmarkStart w:id="10" w:name="_Toc35393790"/>
      <w:r/>
      <w:bookmarkStart w:id="11" w:name="_Toc38985263"/>
      <w:r>
        <w:rPr>
          <w:rFonts w:hint="eastAsia" w:ascii="宋体" w:hAnsi="宋体" w:eastAsia="宋体" w:cs="宋体"/>
          <w:b/>
          <w:color w:val="auto"/>
          <w:sz w:val="24"/>
          <w:szCs w:val="24"/>
          <w:highlight w:val="none"/>
        </w:rPr>
        <w:t xml:space="preserve">一、项目基本情况</w:t>
      </w:r>
      <w:bookmarkEnd w:id="6"/>
      <w:r/>
      <w:bookmarkEnd w:id="7"/>
      <w:r/>
      <w:bookmarkEnd w:id="8"/>
      <w:r/>
      <w:bookmarkEnd w:id="9"/>
      <w:r/>
      <w:bookmarkEnd w:id="10"/>
      <w:r/>
      <w:bookmarkEnd w:id="11"/>
      <w:r/>
      <w:r/>
    </w:p>
    <w:p>
      <w:pPr>
        <w:pStyle w:val="822"/>
        <w:ind w:firstLine="480"/>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项目编号：JSZC-320981-CCGC-G2026-0001</w:t>
      </w:r>
      <w:r>
        <w:rPr>
          <w:rFonts w:hint="eastAsia" w:ascii="宋体" w:hAnsi="宋体" w:eastAsia="宋体" w:cs="宋体"/>
          <w:color w:val="auto"/>
          <w:highlight w:val="none"/>
          <w:lang w:val="en-US" w:eastAsia="zh-CN"/>
        </w:rPr>
        <w:t xml:space="preserve"> </w:t>
      </w:r>
      <w:r/>
    </w:p>
    <w:p>
      <w:pPr>
        <w:pStyle w:val="82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项目名称：</w:t>
      </w:r>
      <w:r>
        <w:rPr>
          <w:rFonts w:hint="eastAsia" w:ascii="宋体" w:hAnsi="宋体" w:eastAsia="宋体" w:cs="宋体"/>
          <w:color w:val="auto"/>
          <w:highlight w:val="none"/>
          <w:lang w:eastAsia="zh-CN"/>
        </w:rPr>
        <w:t xml:space="preserve">东台市中医院256排及64排CT维保项目</w:t>
      </w:r>
      <w:r/>
    </w:p>
    <w:p>
      <w:pPr>
        <w:pStyle w:val="822"/>
        <w:ind w:firstLine="480"/>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采购方式：</w:t>
      </w:r>
      <w:r>
        <w:rPr>
          <w:rFonts w:hint="eastAsia" w:ascii="宋体" w:hAnsi="宋体" w:eastAsia="宋体" w:cs="宋体"/>
          <w:color w:val="auto"/>
          <w:highlight w:val="none"/>
          <w:lang w:val="en-US" w:eastAsia="zh-CN"/>
        </w:rPr>
        <w:t xml:space="preserve">公开招标</w:t>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预算金额：</w:t>
      </w:r>
      <w:r>
        <w:rPr>
          <w:rFonts w:hint="eastAsia" w:ascii="宋体" w:hAnsi="宋体" w:eastAsia="宋体" w:cs="宋体"/>
          <w:color w:val="auto"/>
          <w:highlight w:val="none"/>
          <w:lang w:val="en-US" w:eastAsia="zh-CN"/>
        </w:rPr>
        <w:t xml:space="preserve">480</w:t>
      </w:r>
      <w:r>
        <w:rPr>
          <w:rFonts w:hint="eastAsia" w:ascii="宋体" w:hAnsi="宋体" w:eastAsia="宋体" w:cs="宋体"/>
          <w:color w:val="auto"/>
          <w:highlight w:val="none"/>
        </w:rPr>
        <w:t xml:space="preserve">万元</w:t>
      </w:r>
      <w:r>
        <w:rPr>
          <w:rFonts w:hint="eastAsia" w:ascii="宋体" w:hAnsi="宋体" w:eastAsia="宋体" w:cs="宋体"/>
          <w:color w:val="auto"/>
          <w:highlight w:val="none"/>
        </w:rPr>
        <w:t xml:space="preserve">。</w:t>
      </w:r>
      <w:r>
        <w:rPr>
          <w:rFonts w:hint="eastAsia" w:ascii="宋体" w:hAnsi="宋体" w:eastAsia="宋体" w:cs="宋体"/>
          <w:color w:val="auto"/>
          <w:highlight w:val="none"/>
        </w:rPr>
      </w:r>
      <w:r/>
    </w:p>
    <w:p>
      <w:pPr>
        <w:pStyle w:val="82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最高限价：</w:t>
      </w:r>
      <w:r>
        <w:rPr>
          <w:rFonts w:hint="eastAsia" w:ascii="宋体" w:hAnsi="宋体" w:eastAsia="宋体" w:cs="宋体"/>
          <w:color w:val="auto"/>
          <w:highlight w:val="none"/>
          <w:lang w:val="en-US" w:eastAsia="zh-CN"/>
        </w:rPr>
        <w:t xml:space="preserve">445</w:t>
      </w:r>
      <w:r>
        <w:rPr>
          <w:rFonts w:hint="eastAsia" w:ascii="宋体" w:hAnsi="宋体" w:eastAsia="宋体" w:cs="宋体"/>
          <w:color w:val="auto"/>
          <w:highlight w:val="none"/>
        </w:rPr>
        <w:t xml:space="preserve">万元</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eastAsia="zh-CN"/>
        </w:rPr>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eastAsia="zh-CN"/>
        </w:rPr>
        <w:t xml:space="preserve">东台市中医院256排及64排CT维保项目</w:t>
      </w:r>
      <w:r>
        <w:rPr>
          <w:rFonts w:hint="eastAsia" w:ascii="宋体" w:hAnsi="宋体" w:eastAsia="宋体" w:cs="宋体"/>
          <w:color w:val="auto"/>
          <w:highlight w:val="none"/>
          <w:lang w:val="en-US" w:eastAsia="zh-CN"/>
        </w:rPr>
        <w:t xml:space="preserve">,具体要求详见项目需求</w:t>
      </w:r>
      <w:r>
        <w:rPr>
          <w:rFonts w:hint="eastAsia" w:ascii="宋体" w:hAnsi="宋体" w:eastAsia="宋体" w:cs="宋体"/>
          <w:color w:val="auto"/>
          <w:highlight w:val="none"/>
        </w:rPr>
        <w:t xml:space="preserve">。</w:t>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val="en-US" w:eastAsia="zh-CN"/>
        </w:rPr>
        <w:t xml:space="preserve">两</w:t>
      </w:r>
      <w:r>
        <w:rPr>
          <w:rFonts w:hint="eastAsia" w:ascii="宋体" w:hAnsi="宋体" w:eastAsia="宋体" w:cs="宋体"/>
          <w:color w:val="auto"/>
          <w:highlight w:val="none"/>
        </w:rPr>
        <w:t xml:space="preserve">年</w:t>
      </w:r>
      <w:r>
        <w:rPr>
          <w:rFonts w:hint="eastAsia" w:ascii="宋体" w:hAnsi="宋体" w:eastAsia="宋体" w:cs="宋体"/>
          <w:color w:val="auto"/>
          <w:highlight w:val="none"/>
        </w:rPr>
        <w:t xml:space="preserve">。</w:t>
      </w:r>
      <w:r/>
    </w:p>
    <w:p>
      <w:pPr>
        <w:pStyle w:val="822"/>
        <w:ind w:firstLine="480"/>
        <w:jc w:val="both"/>
        <w:pageBreakBefore w:val="0"/>
        <w:spacing w:beforeAutospacing="0" w:afterAutospacing="0" w:line="48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lang w:eastAsia="zh-CN"/>
        </w:rPr>
        <w:t xml:space="preserve">不</w:t>
      </w:r>
      <w:r>
        <w:rPr>
          <w:rFonts w:hint="eastAsia" w:ascii="宋体" w:hAnsi="宋体" w:eastAsia="宋体" w:cs="宋体"/>
          <w:color w:val="auto"/>
          <w:highlight w:val="none"/>
        </w:rPr>
        <w:t xml:space="preserve">接受联合体参与</w:t>
      </w:r>
      <w:r>
        <w:rPr>
          <w:rFonts w:hint="eastAsia" w:ascii="宋体" w:hAnsi="宋体" w:eastAsia="宋体" w:cs="宋体"/>
          <w:color w:val="auto"/>
          <w:highlight w:val="none"/>
          <w:lang w:val="en-US" w:eastAsia="zh-CN"/>
        </w:rPr>
        <w:t xml:space="preserve">招标</w:t>
      </w:r>
      <w:r>
        <w:rPr>
          <w:rFonts w:hint="eastAsia" w:ascii="宋体" w:hAnsi="宋体" w:eastAsia="宋体" w:cs="宋体"/>
          <w:color w:val="auto"/>
          <w:highlight w:val="none"/>
          <w:lang w:eastAsia="zh-CN"/>
        </w:rPr>
        <w:t xml:space="preserve">。</w:t>
      </w:r>
      <w:r/>
    </w:p>
    <w:p>
      <w:pPr>
        <w:pStyle w:val="82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bookmarkStart w:id="12" w:name="_Toc35393622"/>
      <w:r/>
      <w:bookmarkStart w:id="13" w:name="_Toc28359003"/>
      <w:r/>
      <w:bookmarkStart w:id="14" w:name="_Toc28359080"/>
      <w:r/>
      <w:bookmarkStart w:id="15" w:name="_Toc38985264"/>
      <w:r/>
      <w:bookmarkStart w:id="16" w:name="_Toc35393791"/>
      <w:r>
        <w:rPr>
          <w:rFonts w:hint="eastAsia" w:ascii="宋体" w:hAnsi="宋体" w:eastAsia="宋体" w:cs="宋体"/>
          <w:b/>
          <w:color w:val="auto"/>
          <w:sz w:val="24"/>
          <w:szCs w:val="24"/>
          <w:highlight w:val="none"/>
        </w:rPr>
        <w:t xml:space="preserve">二、申请人的资格要求：</w:t>
      </w:r>
      <w:bookmarkEnd w:id="12"/>
      <w:r/>
      <w:bookmarkEnd w:id="13"/>
      <w:r/>
      <w:bookmarkEnd w:id="14"/>
      <w:r/>
      <w:bookmarkEnd w:id="15"/>
      <w:r/>
      <w:bookmarkEnd w:id="16"/>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2.上一年度的财务状况报告（供应商成立不满一年无需提供）；</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3.具备履行合同所必需的设备和专业技术能力的书面声明；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5.参加政府采购活动前3年内在经营活动中没有重大违法记录的书面声明；</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6.投标人法定代表人身份证明和投标文件签署授权委托书（另附法定代表人和被授权人的身份证复印件或扫描件）；</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7.投标人为被授权人缴纳的社会养老保险证明（如有）；</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8.法律、行政法规规定的其他条件；</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10.单位负责人为同一人或者存在直接控股、管理关系的不同供应商，不得参加同一合同项下的政府采购活动（自行承诺，格式自理）。</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（二）落实政府采购政策需满足的资格要求：</w:t>
      </w:r>
      <w:r/>
    </w:p>
    <w:p>
      <w:pPr>
        <w:pStyle w:val="822"/>
        <w:ind w:firstLine="480"/>
        <w:jc w:val="both"/>
        <w:pageBreakBefore w:val="0"/>
        <w:spacing w:beforeAutospacing="0" w:afterAutospacing="0" w:line="480" w:lineRule="exact"/>
        <w:rPr>
          <w:color w:val="auto"/>
          <w:highlight w:val="none"/>
        </w:rPr>
      </w:pPr>
      <w:r>
        <w:rPr>
          <w:rFonts w:hint="eastAsia" w:ascii="宋体" w:hAnsi="宋体" w:eastAsia="宋体" w:cs="宋体"/>
          <w:color w:val="auto"/>
          <w:highlight w:val="none"/>
        </w:rPr>
        <w:t xml:space="preserve">1.项目为专门面向中小企业采购的项目,供应商必须为中小微企业（或监狱企业或残疾人福利性单位），不接受非中小微型企业（或监狱企业或残疾人福利性单位）参与本项目投标。</w:t>
      </w:r>
      <w:r/>
    </w:p>
    <w:p>
      <w:pPr>
        <w:ind w:firstLine="480"/>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pStyle w:val="822"/>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无</w:t>
      </w:r>
      <w:r>
        <w:rPr>
          <w:rFonts w:hint="eastAsia" w:ascii="宋体" w:hAnsi="宋体" w:eastAsia="宋体" w:cs="宋体"/>
          <w:color w:val="auto"/>
          <w:highlight w:val="none"/>
        </w:rPr>
        <w:t xml:space="preserve">。</w:t>
      </w:r>
      <w:r/>
    </w:p>
    <w:p>
      <w:pPr>
        <w:pStyle w:val="82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三、获取招标文件</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17" w:name="_Toc28359005"/>
      <w:r/>
      <w:bookmarkStart w:id="18" w:name="_Toc35393624"/>
      <w:r/>
      <w:bookmarkStart w:id="19" w:name="_Toc38985266"/>
      <w:r/>
      <w:bookmarkStart w:id="20" w:name="_Toc35393793"/>
      <w:r/>
      <w:bookmarkStart w:id="21" w:name="_Toc28359082"/>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w:t>
      </w:r>
      <w:bookmarkEnd w:id="17"/>
      <w:r/>
      <w:bookmarkEnd w:id="18"/>
      <w:r/>
      <w:bookmarkEnd w:id="19"/>
      <w:r/>
      <w:bookmarkEnd w:id="20"/>
      <w:r/>
      <w:bookmarkEnd w:id="21"/>
      <w:r>
        <w:rPr>
          <w:rFonts w:hint="eastAsia" w:ascii="宋体" w:hAnsi="宋体" w:eastAsia="宋体" w:cs="宋体"/>
          <w:color w:val="auto"/>
          <w:sz w:val="24"/>
          <w:highlight w:val="none"/>
          <w:lang w:val="en-US" w:eastAsia="zh-CN"/>
        </w:rPr>
        <w:t xml:space="preserve">自招标文件公告发布之日起5个工作日。</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2.地点：“苏采云”系统内免费下载（投标人必须在苏采云系统中获取采购文件，方能参与政府采购项目）；</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3.方式：本项目采用网上注册登记方式。 </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pStyle w:val="82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时间：2026-2-12 15:00（北京时间）</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2.地点：苏采云“不见面”开标大厅 。</w:t>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22" w:name="_Toc38985267"/>
      <w:r/>
      <w:bookmarkStart w:id="23" w:name="_Toc28359084"/>
      <w:r/>
      <w:bookmarkStart w:id="24" w:name="_Toc35393794"/>
      <w:r/>
      <w:bookmarkStart w:id="25" w:name="_Toc28359007"/>
      <w:r/>
      <w:bookmarkStart w:id="26" w:name="_Toc35393625"/>
      <w:r>
        <w:rPr>
          <w:rFonts w:hint="eastAsia" w:ascii="宋体" w:hAnsi="宋体" w:eastAsia="宋体" w:cs="宋体"/>
          <w:b/>
          <w:color w:val="auto"/>
          <w:sz w:val="24"/>
          <w:szCs w:val="24"/>
          <w:highlight w:val="none"/>
        </w:rPr>
        <w:t xml:space="preserve">五、公告期限</w:t>
      </w:r>
      <w:bookmarkEnd w:id="22"/>
      <w:r/>
      <w:bookmarkEnd w:id="23"/>
      <w:r/>
      <w:bookmarkEnd w:id="24"/>
      <w:r/>
      <w:bookmarkEnd w:id="25"/>
      <w:r/>
      <w:bookmarkEnd w:id="26"/>
      <w:r/>
      <w:r/>
    </w:p>
    <w:p>
      <w:pPr>
        <w:ind w:firstLine="480"/>
        <w:jc w:val="left"/>
        <w:pageBreakBefore w:val="0"/>
        <w:spacing w:line="480" w:lineRule="exact"/>
        <w:widowControl/>
        <w:rPr>
          <w:rFonts w:hint="eastAsia" w:ascii="宋体" w:hAnsi="宋体" w:eastAsia="宋体" w:cs="宋体"/>
          <w:color w:val="auto"/>
          <w:sz w:val="24"/>
          <w:highlight w:val="none"/>
          <w:lang w:val="en-US" w:eastAsia="zh-CN"/>
        </w:rPr>
      </w:pPr>
      <w:r/>
      <w:bookmarkStart w:id="27" w:name="_Toc38985268"/>
      <w:r/>
      <w:bookmarkStart w:id="28" w:name="_Toc35393795"/>
      <w:r/>
      <w:bookmarkStart w:id="29" w:name="_Toc35393626"/>
      <w:r>
        <w:rPr>
          <w:rFonts w:hint="eastAsia" w:ascii="宋体" w:hAnsi="宋体" w:eastAsia="宋体" w:cs="宋体"/>
          <w:color w:val="auto"/>
          <w:sz w:val="24"/>
          <w:highlight w:val="none"/>
          <w:lang w:val="en-US" w:eastAsia="zh-CN"/>
        </w:rPr>
        <w:t xml:space="preserve">自本公告发布之日起5个工作日。</w:t>
      </w:r>
      <w:bookmarkEnd w:id="27"/>
      <w:r/>
      <w:bookmarkEnd w:id="28"/>
      <w:r/>
      <w:bookmarkEnd w:id="29"/>
      <w:r/>
      <w:r/>
    </w:p>
    <w:p>
      <w:pPr>
        <w:pStyle w:val="822"/>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spacing w:line="360" w:lineRule="auto"/>
        <w:rPr>
          <w:rFonts w:hint="eastAsia" w:ascii="宋体" w:hAnsi="宋体" w:eastAsia="宋体" w:cs="宋体"/>
          <w:color w:val="auto"/>
          <w:sz w:val="24"/>
          <w:highlight w:val="none"/>
          <w:lang w:val="en-US" w:eastAsia="zh-CN"/>
        </w:rPr>
      </w:pPr>
      <w:r/>
      <w:bookmarkStart w:id="30" w:name="_Toc28359018"/>
      <w:r>
        <w:rPr>
          <w:rFonts w:hint="eastAsia" w:ascii="宋体" w:hAnsi="宋体" w:eastAsia="宋体" w:cs="宋体"/>
          <w:color w:val="auto"/>
          <w:sz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 潜在供应商访问电子招标响应交易平台的网络地址和方法：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2.2 潜在投标人访问“苏采云”系统方法：江苏省政府采购网首页-“苏采云”链接。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2.3 采购文件（后缀名为“.kedt”）、供应商操作手册及政府采购客户端 工具可通过“苏采云”系统相应链接进行下载。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 采购代理机构将数据电文形式的采购文件加载至“苏采云”系统，供潜在供应商下载或者查阅。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如潜在投标人未按上述要求操作，将自行承担所产生的风险。</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4.本次招标不收取投标保证金，不收取质量保证金。</w:t>
      </w:r>
      <w:r/>
    </w:p>
    <w:p>
      <w:pPr>
        <w:pStyle w:val="813"/>
        <w:ind w:firstLine="480"/>
        <w:jc w:val="both"/>
        <w:pageBreakBefore w:val="0"/>
        <w:spacing w:before="0" w:beforeAutospacing="0" w:after="0" w:afterAutospacing="0" w:line="480" w:lineRule="exact"/>
        <w:shd w:val="clear" w:color="auto" w:fill="ffffff"/>
        <w:widowControl/>
        <w:rPr>
          <w:rFonts w:hint="eastAsia" w:cs="宋体"/>
          <w:b/>
          <w:bCs/>
          <w:color w:val="auto"/>
          <w:sz w:val="24"/>
          <w:szCs w:val="24"/>
          <w:highlight w:val="none"/>
          <w:shd w:val="clear" w:color="auto" w:fill="ffffff"/>
          <w:lang w:bidi="ar-SA"/>
        </w:rPr>
        <w:outlineLvl w:val="1"/>
      </w:pPr>
      <w:r>
        <w:rPr>
          <w:rFonts w:hint="eastAsia" w:cs="宋体"/>
          <w:b/>
          <w:bCs/>
          <w:color w:val="auto"/>
          <w:sz w:val="24"/>
          <w:szCs w:val="24"/>
          <w:highlight w:val="none"/>
          <w:shd w:val="clear" w:color="auto" w:fill="ffffff"/>
          <w:lang w:val="en-US" w:eastAsia="zh-CN" w:bidi="ar-SA"/>
        </w:rPr>
        <w:t xml:space="preserve">七</w:t>
      </w:r>
      <w:r>
        <w:rPr>
          <w:rFonts w:hint="eastAsia" w:cs="宋体"/>
          <w:b/>
          <w:bCs/>
          <w:color w:val="auto"/>
          <w:sz w:val="24"/>
          <w:szCs w:val="24"/>
          <w:highlight w:val="none"/>
          <w:shd w:val="clear" w:color="auto" w:fill="ffffff"/>
          <w:lang w:bidi="ar-SA"/>
        </w:rPr>
        <w:t xml:space="preserve">、对本次</w:t>
      </w:r>
      <w:r>
        <w:rPr>
          <w:rFonts w:hint="eastAsia" w:cs="宋体"/>
          <w:b/>
          <w:bCs/>
          <w:color w:val="auto"/>
          <w:sz w:val="24"/>
          <w:szCs w:val="24"/>
          <w:highlight w:val="none"/>
          <w:shd w:val="clear" w:color="auto" w:fill="ffffff"/>
          <w:lang w:val="en-US" w:eastAsia="zh-CN" w:bidi="ar-SA"/>
        </w:rPr>
        <w:t xml:space="preserve">招标</w:t>
      </w:r>
      <w:r>
        <w:rPr>
          <w:rFonts w:hint="eastAsia" w:cs="宋体"/>
          <w:b/>
          <w:bCs/>
          <w:color w:val="auto"/>
          <w:sz w:val="24"/>
          <w:szCs w:val="24"/>
          <w:highlight w:val="none"/>
          <w:shd w:val="clear" w:color="auto" w:fill="ffffff"/>
          <w:lang w:bidi="ar-SA"/>
        </w:rPr>
        <w:t xml:space="preserve">提出询问，请按以下方式联系。</w:t>
      </w:r>
      <w:bookmarkEnd w:id="30"/>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bookmarkStart w:id="31" w:name="_Toc28359009"/>
      <w:r>
        <w:rPr>
          <w:rFonts w:hint="eastAsia" w:ascii="宋体" w:hAnsi="宋体" w:eastAsia="宋体" w:cs="宋体"/>
          <w:color w:val="auto"/>
          <w:highlight w:val="none"/>
          <w:shd w:val="clear" w:color="auto" w:fill="ffffff"/>
          <w:lang w:val="en-US" w:eastAsia="zh-CN"/>
        </w:rPr>
        <w:t xml:space="preserve">1.采购人信息</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名 称：东台市中医院  </w:t>
      </w:r>
      <w:r/>
    </w:p>
    <w:p>
      <w:pPr>
        <w:pStyle w:val="822"/>
        <w:ind w:firstLine="560"/>
        <w:jc w:val="both"/>
        <w:pageBreakBefore w:val="0"/>
        <w:spacing w:beforeAutospacing="0" w:afterAutospacing="0" w:line="480" w:lineRule="exact"/>
        <w:shd w:val="clear" w:color="auto" w:fill="ffffff"/>
        <w:widowControl/>
        <w:rPr>
          <w:rFonts w:hint="default"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地址：东台市雅居路198号</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联系人： 王先生             </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联系方式：13962098890      </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2.采购代理机构信息</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名 称：江苏策诚工程咨询有限公司</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地 址：东台市唯诚大厦二十层</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联系人：王先生                     </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联系方式：</w:t>
      </w:r>
      <w:bookmarkStart w:id="32" w:name="_Toc28359010"/>
      <w:r/>
      <w:bookmarkStart w:id="33" w:name="_Toc28359087"/>
      <w:r>
        <w:rPr>
          <w:rFonts w:hint="eastAsia" w:ascii="宋体" w:hAnsi="宋体" w:eastAsia="宋体" w:cs="宋体"/>
          <w:color w:val="auto"/>
          <w:highlight w:val="none"/>
          <w:shd w:val="clear" w:color="auto" w:fill="ffffff"/>
          <w:lang w:val="en-US" w:eastAsia="zh-CN"/>
        </w:rPr>
        <w:t xml:space="preserve">13770279</w:t>
      </w:r>
      <w:bookmarkStart w:id="206" w:name="_GoBack"/>
      <w:r/>
      <w:bookmarkEnd w:id="206"/>
      <w:r>
        <w:rPr>
          <w:rFonts w:hint="eastAsia" w:ascii="宋体" w:hAnsi="宋体" w:eastAsia="宋体" w:cs="宋体"/>
          <w:color w:val="auto"/>
          <w:highlight w:val="none"/>
          <w:shd w:val="clear" w:color="auto" w:fill="ffffff"/>
          <w:lang w:val="en-US" w:eastAsia="zh-CN"/>
        </w:rPr>
        <w:t xml:space="preserve">267       </w:t>
      </w:r>
      <w:bookmarkEnd w:id="32"/>
      <w:r/>
      <w:bookmarkEnd w:id="33"/>
      <w:r>
        <w:rPr>
          <w:rFonts w:hint="eastAsia" w:ascii="宋体" w:hAnsi="宋体" w:eastAsia="宋体" w:cs="宋体"/>
          <w:color w:val="auto"/>
          <w:highlight w:val="none"/>
          <w:shd w:val="clear" w:color="auto" w:fill="ffffff"/>
          <w:lang w:val="en-US" w:eastAsia="zh-CN"/>
        </w:rPr>
        <w:t xml:space="preserve">            </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bookmarkStart w:id="34" w:name="_Toc28359021"/>
      <w:r>
        <w:rPr>
          <w:rFonts w:hint="eastAsia" w:ascii="宋体" w:hAnsi="宋体" w:eastAsia="宋体" w:cs="宋体"/>
          <w:color w:val="auto"/>
          <w:highlight w:val="none"/>
          <w:shd w:val="clear" w:color="auto" w:fill="ffffff"/>
          <w:lang w:val="en-US" w:eastAsia="zh-CN"/>
        </w:rPr>
        <w:t xml:space="preserve">3.</w:t>
      </w:r>
      <w:bookmarkEnd w:id="34"/>
      <w:r>
        <w:rPr>
          <w:rFonts w:hint="eastAsia" w:ascii="宋体" w:hAnsi="宋体" w:eastAsia="宋体" w:cs="宋体"/>
          <w:color w:val="auto"/>
          <w:highlight w:val="none"/>
          <w:shd w:val="clear" w:color="auto" w:fill="ffffff"/>
          <w:lang w:val="en-US" w:eastAsia="zh-CN"/>
        </w:rPr>
        <w:t xml:space="preserve">项目联系方式</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项目联系人：王先生</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lang w:val="en-US" w:eastAsia="zh-CN"/>
        </w:rPr>
      </w:pPr>
      <w:r>
        <w:rPr>
          <w:rFonts w:hint="eastAsia" w:ascii="宋体" w:hAnsi="宋体" w:eastAsia="宋体" w:cs="宋体"/>
          <w:color w:val="auto"/>
          <w:highlight w:val="none"/>
          <w:shd w:val="clear" w:color="auto" w:fill="ffffff"/>
          <w:lang w:val="en-US" w:eastAsia="zh-CN"/>
        </w:rPr>
        <w:t xml:space="preserve">电　　 话：13770279267　　　　　　　　　　　　</w:t>
      </w:r>
      <w:r/>
    </w:p>
    <w:p>
      <w:pPr>
        <w:pStyle w:val="822"/>
        <w:ind w:firstLine="560"/>
        <w:jc w:val="both"/>
        <w:pageBreakBefore w:val="0"/>
        <w:spacing w:beforeAutospacing="0" w:afterAutospacing="0" w:line="480" w:lineRule="exact"/>
        <w:shd w:val="clear" w:color="auto" w:fill="ffffff"/>
        <w:widowControl/>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 </w:t>
      </w:r>
      <w:r/>
    </w:p>
    <w:p>
      <w:pPr>
        <w:pStyle w:val="822"/>
        <w:ind w:right="840"/>
        <w:jc w:val="both"/>
        <w:spacing w:beforeAutospacing="0" w:afterAutospacing="0"/>
        <w:rPr>
          <w:color w:val="auto"/>
          <w:highlight w:val="none"/>
        </w:rPr>
      </w:pPr>
      <w:r>
        <w:rPr>
          <w:rFonts w:hint="eastAsia" w:ascii="宋体" w:hAnsi="宋体" w:eastAsia="宋体" w:cs="宋体"/>
          <w:color w:val="auto"/>
          <w:sz w:val="24"/>
          <w:szCs w:val="24"/>
          <w:highlight w:val="none"/>
        </w:rPr>
        <w:br w:type="page" w:clear="all"/>
      </w:r>
      <w:r/>
    </w:p>
    <w:p>
      <w:pPr>
        <w:pStyle w:val="822"/>
        <w:ind w:firstLine="2429"/>
        <w:jc w:val="both"/>
        <w:keepLines/>
        <w:keepNext/>
        <w:pageBreakBefore w:val="0"/>
        <w:spacing w:before="260" w:beforeAutospacing="0" w:after="260" w:afterAutospacing="0" w:line="480" w:lineRule="exact"/>
        <w:widowControl w:val="off"/>
        <w:rPr>
          <w:color w:val="auto"/>
          <w:highlight w:val="none"/>
        </w:rPr>
      </w:pPr>
      <w:r/>
      <w:bookmarkStart w:id="35" w:name="_Toc120614211"/>
      <w:r/>
      <w:bookmarkStart w:id="36" w:name="_Toc513029226"/>
      <w:r/>
      <w:bookmarkStart w:id="37" w:name="_Hlt26954846"/>
      <w:r/>
      <w:bookmarkStart w:id="38" w:name="_Hlt26954840"/>
      <w:r/>
      <w:bookmarkStart w:id="39" w:name="_Hlt26668975"/>
      <w:r/>
      <w:bookmarkStart w:id="40" w:name="_Hlt26954850"/>
      <w:r/>
      <w:bookmarkStart w:id="41" w:name="_Hlt26670489"/>
      <w:r/>
      <w:bookmarkStart w:id="42" w:name="_Hlt26668983"/>
      <w:r/>
      <w:bookmarkStart w:id="43" w:name="_Hlt26954734"/>
      <w:r/>
      <w:bookmarkStart w:id="44" w:name="_Hlt26670373"/>
      <w:r/>
      <w:bookmarkStart w:id="45" w:name="_Hlt26670399"/>
      <w:r/>
      <w:bookmarkStart w:id="46" w:name="_Hlt26954838"/>
      <w:r/>
      <w:bookmarkStart w:id="47" w:name="_Hlt26670486"/>
      <w:r/>
      <w:bookmarkStart w:id="48" w:name="_Hlt26670360"/>
      <w:r/>
      <w:bookmarkStart w:id="49" w:name="_Hlt26954852"/>
      <w:r/>
      <w:bookmarkStart w:id="50" w:name="_Hlt26954731"/>
      <w:r/>
      <w:bookmarkStart w:id="51" w:name="_Hlt26954842"/>
      <w:r/>
      <w:bookmarkStart w:id="52" w:name="_Hlt26954844"/>
      <w:r/>
      <w:bookmarkStart w:id="53" w:name="_Hlt26670403"/>
      <w:r/>
      <w:bookmarkStart w:id="54" w:name="_Hlt26954739"/>
      <w:r/>
      <w:bookmarkStart w:id="55" w:name="_Hlt26954848"/>
      <w:r/>
      <w:bookmarkStart w:id="56" w:name="_Hlt26670482"/>
      <w:r/>
      <w:bookmarkStart w:id="57" w:name="_Hlt26670425"/>
      <w:r/>
      <w:bookmarkStart w:id="58" w:name="_Hlt16619475"/>
      <w:r>
        <w:rPr>
          <w:rFonts w:hint="eastAsia" w:ascii="黑体" w:hAnsi="宋体" w:eastAsia="黑体" w:cs="黑体"/>
          <w:b/>
          <w:color w:val="auto"/>
          <w:sz w:val="44"/>
          <w:szCs w:val="44"/>
          <w:highlight w:val="none"/>
        </w:rPr>
        <w:t xml:space="preserve">第二章  </w:t>
      </w:r>
      <w:bookmarkEnd w:id="35"/>
      <w:r/>
      <w:bookmarkStart w:id="59" w:name="_Toc120614213"/>
      <w:r/>
      <w:bookmarkStart w:id="60" w:name="_Toc16938518"/>
      <w:r/>
      <w:bookmarkStart w:id="61" w:name="_Toc513029202"/>
      <w:r/>
      <w:bookmarkStart w:id="62" w:name="_Toc20823274"/>
      <w:r>
        <w:rPr>
          <w:rFonts w:hint="eastAsia" w:ascii="黑体" w:hAnsi="宋体" w:eastAsia="黑体" w:cs="黑体"/>
          <w:b/>
          <w:color w:val="auto"/>
          <w:sz w:val="44"/>
          <w:szCs w:val="44"/>
          <w:highlight w:val="none"/>
        </w:rPr>
        <w:t xml:space="preserve">投标人须知</w:t>
      </w:r>
      <w:bookmarkEnd w:id="59"/>
      <w:r/>
      <w:bookmarkEnd w:id="60"/>
      <w:r/>
      <w:bookmarkEnd w:id="61"/>
      <w:r/>
      <w:bookmarkEnd w:id="62"/>
      <w:r/>
      <w:r/>
    </w:p>
    <w:p>
      <w:pPr>
        <w:pStyle w:val="822"/>
        <w:ind w:firstLine="498"/>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63" w:name="_Toc120614214"/>
      <w:r/>
      <w:bookmarkStart w:id="64" w:name="_Toc20823275"/>
      <w:r/>
      <w:bookmarkStart w:id="65" w:name="_Toc513029203"/>
      <w:r/>
      <w:bookmarkStart w:id="66" w:name="_Toc16938519"/>
      <w:r>
        <w:rPr>
          <w:rFonts w:hint="eastAsia" w:ascii="宋体" w:hAnsi="宋体" w:eastAsia="宋体" w:cs="宋体"/>
          <w:b/>
          <w:color w:val="auto"/>
          <w:highlight w:val="none"/>
        </w:rPr>
        <w:t xml:space="preserve">一、总则</w:t>
      </w:r>
      <w:bookmarkEnd w:id="63"/>
      <w:r/>
      <w:bookmarkEnd w:id="64"/>
      <w:r/>
      <w:bookmarkEnd w:id="65"/>
      <w:r/>
      <w:bookmarkEnd w:id="66"/>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67" w:name="_Toc16938520"/>
      <w:r/>
      <w:bookmarkStart w:id="68" w:name="_Toc20823276"/>
      <w:r/>
      <w:bookmarkStart w:id="69" w:name="_Toc458694821"/>
      <w:r/>
      <w:bookmarkStart w:id="70" w:name="_Toc513029204"/>
      <w:r>
        <w:rPr>
          <w:rFonts w:hint="eastAsia" w:ascii="宋体" w:hAnsi="宋体" w:eastAsia="宋体" w:cs="宋体"/>
          <w:color w:val="auto"/>
          <w:highlight w:val="none"/>
        </w:rPr>
        <w:t xml:space="preserve">1</w:t>
      </w:r>
      <w:bookmarkEnd w:id="67"/>
      <w:r>
        <w:rPr>
          <w:rFonts w:hint="eastAsia" w:ascii="宋体" w:hAnsi="宋体" w:eastAsia="宋体" w:cs="宋体"/>
          <w:color w:val="auto"/>
          <w:highlight w:val="none"/>
        </w:rPr>
        <w:t xml:space="preserve">、招标方式</w:t>
      </w:r>
      <w:bookmarkEnd w:id="68"/>
      <w:r/>
      <w:bookmarkEnd w:id="69"/>
      <w:r/>
      <w:bookmarkEnd w:id="70"/>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1.1本次招标采取公开招标方式，本招标文件仅适用于招标公告中所述项目。</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1" w:name="_Toc16938521"/>
      <w:r/>
      <w:bookmarkStart w:id="72" w:name="_Toc513029205"/>
      <w:r/>
      <w:bookmarkStart w:id="73" w:name="_Toc20823277"/>
      <w:r>
        <w:rPr>
          <w:rFonts w:hint="eastAsia" w:ascii="宋体" w:hAnsi="宋体" w:eastAsia="宋体" w:cs="宋体"/>
          <w:color w:val="auto"/>
          <w:highlight w:val="none"/>
        </w:rPr>
        <w:t xml:space="preserve">2、合格的投标人</w:t>
      </w:r>
      <w:bookmarkEnd w:id="71"/>
      <w:r/>
      <w:bookmarkEnd w:id="72"/>
      <w:r/>
      <w:bookmarkEnd w:id="73"/>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2.1满足招标公告中供应商的资格要求的规定。</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2.2满足本文件实质性要求和条件的规定。</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4" w:name="_Toc20823278"/>
      <w:r/>
      <w:bookmarkStart w:id="75" w:name="_Toc16938522"/>
      <w:r/>
      <w:bookmarkStart w:id="76" w:name="_Toc513029206"/>
      <w:r>
        <w:rPr>
          <w:rFonts w:hint="eastAsia" w:ascii="宋体" w:hAnsi="宋体" w:eastAsia="宋体" w:cs="宋体"/>
          <w:color w:val="auto"/>
          <w:highlight w:val="none"/>
        </w:rPr>
        <w:t xml:space="preserve">3、适用法律</w:t>
      </w:r>
      <w:bookmarkEnd w:id="74"/>
      <w:r/>
      <w:bookmarkEnd w:id="75"/>
      <w:r/>
      <w:bookmarkEnd w:id="76"/>
      <w:r/>
      <w:r/>
    </w:p>
    <w:p>
      <w:pPr>
        <w:pStyle w:val="822"/>
        <w:ind w:firstLine="42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3.1本次招标及由此产生的合同受中华人民共和国有关的法律法规制约和保护。</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77" w:name="_Toc20823279"/>
      <w:r/>
      <w:bookmarkStart w:id="78" w:name="_Toc513029207"/>
      <w:r/>
      <w:bookmarkStart w:id="79" w:name="_Toc16938523"/>
      <w:r/>
      <w:bookmarkStart w:id="80" w:name="_Toc462564067"/>
      <w:r>
        <w:rPr>
          <w:rFonts w:hint="eastAsia" w:ascii="宋体" w:hAnsi="宋体" w:eastAsia="宋体" w:cs="宋体"/>
          <w:color w:val="auto"/>
          <w:highlight w:val="none"/>
        </w:rPr>
        <w:t xml:space="preserve">4、投标费用</w:t>
      </w:r>
      <w:bookmarkEnd w:id="77"/>
      <w:r/>
      <w:bookmarkEnd w:id="78"/>
      <w:r/>
      <w:bookmarkEnd w:id="79"/>
      <w:r/>
      <w:bookmarkEnd w:id="80"/>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4.1投标人应自行承担所有与参加投标有关的费用，无论投标过程中的做法和结果如何，</w:t>
      </w:r>
      <w:r>
        <w:rPr>
          <w:rFonts w:hint="eastAsia" w:ascii="宋体" w:hAnsi="宋体" w:eastAsia="宋体" w:cs="宋体"/>
          <w:color w:val="auto"/>
          <w:highlight w:val="none"/>
          <w:lang w:val="en-US" w:eastAsia="zh-CN"/>
        </w:rPr>
        <w:t xml:space="preserve">东台市中医院</w:t>
      </w:r>
      <w:r>
        <w:rPr>
          <w:rFonts w:hint="eastAsia" w:ascii="宋体" w:hAnsi="宋体" w:eastAsia="宋体" w:cs="宋体"/>
          <w:color w:val="auto"/>
          <w:highlight w:val="none"/>
        </w:rPr>
        <w:t xml:space="preserve">（以下简称采购人）在任何情况下均无义务和责任承担这些费用。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4.2本次招标采购人不收取标书工本费。</w:t>
      </w:r>
      <w:r/>
    </w:p>
    <w:p>
      <w:pPr>
        <w:pStyle w:val="822"/>
        <w:ind w:firstLine="480"/>
        <w:jc w:val="both"/>
        <w:pageBreakBefore w:val="0"/>
        <w:spacing w:beforeAutospacing="0" w:afterAutospacing="0" w:line="480" w:lineRule="exact"/>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4.3</w:t>
      </w:r>
      <w:r>
        <w:rPr>
          <w:rFonts w:hint="eastAsia" w:ascii="宋体" w:hAnsi="宋体" w:eastAsia="宋体" w:cs="宋体"/>
          <w:color w:val="auto"/>
          <w:highlight w:val="none"/>
          <w:lang w:val="zh-CN" w:eastAsia="zh-CN"/>
        </w:rPr>
        <w:t xml:space="preserve">本次招标代理服务费按</w:t>
      </w:r>
      <w:r>
        <w:rPr>
          <w:rFonts w:hint="eastAsia" w:ascii="宋体" w:hAnsi="宋体" w:eastAsia="宋体" w:cs="宋体"/>
          <w:color w:val="auto"/>
          <w:highlight w:val="none"/>
          <w:lang w:val="en-US" w:eastAsia="zh-CN"/>
        </w:rPr>
        <w:t xml:space="preserve">6500元</w:t>
      </w:r>
      <w:r>
        <w:rPr>
          <w:rFonts w:hint="eastAsia" w:ascii="宋体" w:hAnsi="宋体" w:eastAsia="宋体" w:cs="宋体"/>
          <w:color w:val="auto"/>
          <w:highlight w:val="none"/>
          <w:lang w:val="zh-CN" w:eastAsia="zh-CN"/>
        </w:rPr>
        <w:t xml:space="preserve">，投标人应考虑在报价中，该费用包含在总价内，不单独列项。无论是否将该费用在报价中列明，均视为已含在总价中。</w:t>
      </w:r>
      <w:r/>
    </w:p>
    <w:p>
      <w:pPr>
        <w:pStyle w:val="822"/>
        <w:ind w:firstLine="602"/>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5、</w:t>
      </w:r>
      <w:r>
        <w:rPr>
          <w:rFonts w:hint="eastAsia" w:ascii="宋体" w:hAnsi="宋体" w:eastAsia="宋体" w:cs="宋体"/>
          <w:color w:val="auto"/>
          <w:highlight w:val="none"/>
        </w:rPr>
        <w:t xml:space="preserve">招标文件的约束力</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5.1投标人一旦参加本项目采购活动，即被认为接受了本招标文件的规定和约束。</w:t>
      </w:r>
      <w:r/>
    </w:p>
    <w:p>
      <w:pPr>
        <w:pStyle w:val="822"/>
        <w:ind w:firstLine="321"/>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81" w:name="_Toc20823281"/>
      <w:r/>
      <w:bookmarkStart w:id="82" w:name="_Toc16938525"/>
      <w:r/>
      <w:bookmarkStart w:id="83" w:name="_Toc120614215"/>
      <w:r/>
      <w:bookmarkStart w:id="84" w:name="_Toc513029209"/>
      <w:r>
        <w:rPr>
          <w:rFonts w:hint="eastAsia" w:ascii="宋体" w:hAnsi="宋体" w:eastAsia="宋体" w:cs="宋体"/>
          <w:b/>
          <w:color w:val="auto"/>
          <w:highlight w:val="none"/>
        </w:rPr>
        <w:t xml:space="preserve">二、招标文件</w:t>
      </w:r>
      <w:bookmarkEnd w:id="81"/>
      <w:r/>
      <w:bookmarkEnd w:id="82"/>
      <w:r/>
      <w:bookmarkEnd w:id="83"/>
      <w:r/>
      <w:bookmarkEnd w:id="84"/>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85" w:name="_Toc513029210"/>
      <w:r/>
      <w:bookmarkStart w:id="86" w:name="_Toc20823282"/>
      <w:r/>
      <w:bookmarkStart w:id="87" w:name="_Toc16938526"/>
      <w:r>
        <w:rPr>
          <w:rFonts w:hint="eastAsia" w:ascii="宋体" w:hAnsi="宋体" w:eastAsia="宋体" w:cs="宋体"/>
          <w:color w:val="auto"/>
          <w:highlight w:val="none"/>
        </w:rPr>
        <w:t xml:space="preserve">6、招标文件构成</w:t>
      </w:r>
      <w:bookmarkEnd w:id="85"/>
      <w:r/>
      <w:bookmarkEnd w:id="86"/>
      <w:r/>
      <w:bookmarkEnd w:id="87"/>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6.1 招标文件由以下部分组成：</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（1）招标公告</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（2）投标人须知</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（3）合同文本</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（4）采购需求</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（5）评标方法与评标标准</w:t>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（6）投标文件格式</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请仔细检查招标文件是否齐全，如有缺漏请立即与采购人联系解决。</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88" w:name="_Toc16938527"/>
      <w:r/>
      <w:bookmarkStart w:id="89" w:name="_Toc462564070"/>
      <w:r/>
      <w:bookmarkStart w:id="90" w:name="_Toc513029211"/>
      <w:r/>
      <w:bookmarkStart w:id="91" w:name="_Toc20823283"/>
      <w:r>
        <w:rPr>
          <w:rFonts w:hint="eastAsia" w:ascii="宋体" w:hAnsi="宋体" w:eastAsia="宋体" w:cs="宋体"/>
          <w:color w:val="auto"/>
          <w:highlight w:val="none"/>
        </w:rPr>
        <w:t xml:space="preserve">7、招标文件的澄清</w:t>
      </w:r>
      <w:bookmarkEnd w:id="88"/>
      <w:r/>
      <w:bookmarkEnd w:id="89"/>
      <w:r/>
      <w:bookmarkEnd w:id="90"/>
      <w:r/>
      <w:bookmarkEnd w:id="91"/>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7.1任何要求对招标文件进行澄清的投标人，应在投标截止期</w:t>
      </w:r>
      <w:r>
        <w:rPr>
          <w:rFonts w:hint="eastAsia" w:ascii="宋体" w:hAnsi="宋体" w:eastAsia="宋体" w:cs="宋体"/>
          <w:b/>
          <w:color w:val="auto"/>
          <w:highlight w:val="none"/>
        </w:rPr>
        <w:t xml:space="preserve">十日</w:t>
      </w:r>
      <w:r>
        <w:rPr>
          <w:rFonts w:hint="eastAsia" w:ascii="宋体" w:hAnsi="宋体" w:eastAsia="宋体" w:cs="宋体"/>
          <w:color w:val="auto"/>
          <w:highlight w:val="none"/>
        </w:rPr>
        <w:t xml:space="preserve">前按招标公告中的通讯地址，以书面形式通知采购人。</w:t>
      </w:r>
      <w:r/>
    </w:p>
    <w:p>
      <w:pPr>
        <w:pStyle w:val="82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92" w:name="_Toc513029212"/>
      <w:r/>
      <w:bookmarkStart w:id="93" w:name="_Toc462564071"/>
      <w:r/>
      <w:bookmarkStart w:id="94" w:name="_Toc16938528"/>
      <w:r/>
      <w:bookmarkStart w:id="95" w:name="_Toc20823284"/>
      <w:r>
        <w:rPr>
          <w:rFonts w:hint="eastAsia" w:ascii="宋体" w:hAnsi="宋体" w:eastAsia="宋体" w:cs="宋体"/>
          <w:color w:val="auto"/>
          <w:highlight w:val="none"/>
        </w:rPr>
        <w:t xml:space="preserve">8、招标文件的修改</w:t>
      </w:r>
      <w:bookmarkEnd w:id="92"/>
      <w:r/>
      <w:bookmarkEnd w:id="93"/>
      <w:r/>
      <w:bookmarkEnd w:id="94"/>
      <w:r/>
      <w:bookmarkEnd w:id="95"/>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8.1在投标截止时间前，采购人可以对招标文件进行修改。</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8.2采购人有权按照法定的要求推迟投标截止日期和开标日期。</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8.3招标文件的修改将在中国政府采购网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江苏政府采购网、盐城市政府采购网公布，补充文件将作为招标文件的组成部分，并对投标人具有约束力。</w:t>
      </w:r>
      <w:r/>
    </w:p>
    <w:p>
      <w:pPr>
        <w:pStyle w:val="82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96" w:name="_Toc513029213"/>
      <w:r/>
      <w:bookmarkStart w:id="97" w:name="_Toc120614216"/>
      <w:r/>
      <w:bookmarkStart w:id="98" w:name="_Toc20823285"/>
      <w:r/>
      <w:bookmarkStart w:id="99" w:name="_Toc16938529"/>
      <w:r/>
      <w:bookmarkStart w:id="100" w:name="_Toc462564072"/>
      <w:r>
        <w:rPr>
          <w:rFonts w:hint="eastAsia" w:ascii="宋体" w:hAnsi="宋体" w:eastAsia="宋体" w:cs="宋体"/>
          <w:b/>
          <w:color w:val="auto"/>
          <w:highlight w:val="none"/>
        </w:rPr>
        <w:t xml:space="preserve">三、投标文件的编制</w:t>
      </w:r>
      <w:bookmarkEnd w:id="96"/>
      <w:r/>
      <w:bookmarkEnd w:id="97"/>
      <w:r/>
      <w:bookmarkEnd w:id="98"/>
      <w:r/>
      <w:bookmarkEnd w:id="99"/>
      <w:r/>
      <w:bookmarkEnd w:id="100"/>
      <w:r/>
      <w:r/>
    </w:p>
    <w:p>
      <w:pPr>
        <w:pStyle w:val="82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1" w:name="_Toc20823286"/>
      <w:r/>
      <w:bookmarkStart w:id="102" w:name="_Toc16938530"/>
      <w:r/>
      <w:bookmarkStart w:id="103" w:name="_Toc462564073"/>
      <w:r/>
      <w:bookmarkStart w:id="104" w:name="_Toc513029214"/>
      <w:r>
        <w:rPr>
          <w:rFonts w:hint="eastAsia" w:ascii="宋体" w:hAnsi="宋体" w:eastAsia="宋体" w:cs="宋体"/>
          <w:color w:val="auto"/>
          <w:highlight w:val="none"/>
        </w:rPr>
        <w:t xml:space="preserve">9、投标文件的语言及度量衡单位</w:t>
      </w:r>
      <w:bookmarkEnd w:id="101"/>
      <w:r/>
      <w:bookmarkEnd w:id="102"/>
      <w:r/>
      <w:bookmarkEnd w:id="103"/>
      <w:r/>
      <w:bookmarkEnd w:id="104"/>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9.1投标人提交的投标文件以及投标人与采购人就有关投标的所有来往通知、函件和文件均应使用</w:t>
      </w:r>
      <w:r>
        <w:rPr>
          <w:rFonts w:hint="eastAsia" w:ascii="宋体" w:hAnsi="宋体" w:eastAsia="宋体" w:cs="宋体"/>
          <w:b/>
          <w:color w:val="auto"/>
          <w:highlight w:val="none"/>
        </w:rPr>
        <w:t xml:space="preserve">简体中文</w:t>
      </w:r>
      <w:r>
        <w:rPr>
          <w:rFonts w:hint="eastAsia" w:ascii="宋体" w:hAnsi="宋体" w:eastAsia="宋体" w:cs="宋体"/>
          <w:color w:val="auto"/>
          <w:highlight w:val="none"/>
        </w:rPr>
        <w:t xml:space="preserve">。</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9.2除技术性能另有规定外，投标文件所使用的度量衡单位，均须采用国家法定计量单位。</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5" w:name="_Toc513029215"/>
      <w:r/>
      <w:bookmarkStart w:id="106" w:name="_Toc462564074"/>
      <w:r/>
      <w:bookmarkStart w:id="107" w:name="_Toc16938531"/>
      <w:r/>
      <w:bookmarkStart w:id="108" w:name="_Toc20823287"/>
      <w:r>
        <w:rPr>
          <w:rFonts w:hint="eastAsia" w:ascii="宋体" w:hAnsi="宋体" w:eastAsia="宋体" w:cs="宋体"/>
          <w:color w:val="auto"/>
          <w:highlight w:val="none"/>
        </w:rPr>
        <w:t xml:space="preserve">10、投标文件构成</w:t>
      </w:r>
      <w:bookmarkEnd w:id="105"/>
      <w:r/>
      <w:bookmarkEnd w:id="106"/>
      <w:r/>
      <w:bookmarkEnd w:id="107"/>
      <w:r/>
      <w:bookmarkEnd w:id="108"/>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10.1开标一览表（系统固定格式）</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10.2资格审查资料</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10.2.1法人或者其他组织的营业执照等证明文件，自然人的身份证明</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10.2.2上一年度的财务状况报告（投标人成立不满一年无需提供）</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10.2.4具备履行合同所必需的设备和专业技术能力的书面声明</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10.2.5参加政府采购活动前3年内在经营活动中没有重大违法记录的书面声明</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10.2.6投标人法定代表人身份证明和投标文件签署授权委托书（另附法定代表人和被授权人的身份证复印件或扫描件）；</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10.2.7投标人为被授权人缴纳的社会养老保险证明；</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10.2.8与资格审查有关的其他资料（如有）。</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10.3符合性资料</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10.3.1报价明细表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10.3.2投标函；</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10.3.3所供服务（服务附带的产品）内容及服务要求偏离表；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10.3.4投标人的服务承诺；</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10.3.5小微企业声明函、残疾人福利性单位声明函；（如有）</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10.3.6联合体协议（如有）；</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10.3.7盐城市政府采购事前信用承诺书；</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10.4综合评审相关资料</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10.5价格折扣文件（如有）</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注：1）以上材料须按顺序进行排列。</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2）如为法定代表人参与公开招标的无须提供“投标文件签署授权委托书”和“被授权人缴纳的社会养老保险证明”。</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3）与本次公开招标无关的资料不要求提供。</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如标书制作工具中格式和内容与</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“江苏政府采购网”、“盐城市政府采购网”发布的招标文件不一致，请以</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中国政府采购网</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rPr>
        <w:t xml:space="preserve">“江苏政府采购网”、“盐城市政府采购网”发布的招标文件为准。</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09" w:name="_Toc49090507"/>
      <w:r/>
      <w:bookmarkStart w:id="110" w:name="_Toc513029216"/>
      <w:r/>
      <w:bookmarkStart w:id="111" w:name="_Toc49090509"/>
      <w:r/>
      <w:bookmarkStart w:id="112" w:name="_Toc14577357"/>
      <w:r/>
      <w:bookmarkStart w:id="113" w:name="_Toc513029219"/>
      <w:r/>
      <w:bookmarkStart w:id="114" w:name="_Toc14577354"/>
      <w:r>
        <w:rPr>
          <w:rFonts w:hint="eastAsia" w:ascii="宋体" w:hAnsi="宋体" w:eastAsia="宋体" w:cs="宋体"/>
          <w:color w:val="auto"/>
          <w:highlight w:val="none"/>
        </w:rPr>
        <w:t xml:space="preserve">11、证明投标人及投标标的符合招标文件规定的文件</w:t>
      </w:r>
      <w:bookmarkEnd w:id="109"/>
      <w:r/>
      <w:bookmarkEnd w:id="110"/>
      <w:r/>
      <w:bookmarkEnd w:id="111"/>
      <w:r/>
      <w:bookmarkEnd w:id="112"/>
      <w:r/>
      <w:bookmarkEnd w:id="113"/>
      <w:r/>
      <w:bookmarkEnd w:id="114"/>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15" w:name="_Toc14577355"/>
      <w:r/>
      <w:bookmarkStart w:id="116" w:name="_Toc49090508"/>
      <w:r>
        <w:rPr>
          <w:rFonts w:hint="eastAsia" w:ascii="宋体" w:hAnsi="宋体" w:eastAsia="宋体" w:cs="宋体"/>
          <w:color w:val="auto"/>
          <w:highlight w:val="none"/>
        </w:rPr>
        <w:t xml:space="preserve"> </w:t>
      </w:r>
      <w:bookmarkEnd w:id="115"/>
      <w:r/>
      <w:bookmarkEnd w:id="116"/>
      <w:r>
        <w:rPr>
          <w:rFonts w:hint="eastAsia" w:ascii="宋体" w:hAnsi="宋体" w:eastAsia="宋体" w:cs="宋体"/>
          <w:color w:val="auto"/>
          <w:sz w:val="24"/>
          <w:szCs w:val="24"/>
          <w:highlight w:val="none"/>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11.2招标文件对证明文件无明确形式要求的，证明文件可以以文字资料、图纸和数据等形式提交。</w:t>
      </w:r>
      <w:r/>
    </w:p>
    <w:p>
      <w:pPr>
        <w:ind w:firstLine="480"/>
        <w:spacing w:line="460" w:lineRule="exact"/>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11.3“</w:t>
      </w:r>
      <w:r>
        <w:rPr>
          <w:rFonts w:hint="eastAsia" w:ascii="宋体" w:hAnsi="宋体" w:eastAsia="宋体" w:cs="Times New Roman"/>
          <w:color w:val="auto"/>
          <w:sz w:val="24"/>
          <w:highlight w:val="none"/>
          <w:lang w:eastAsia="zh-CN"/>
        </w:rPr>
        <w:t xml:space="preserve">上一年度或上上年度的财务状况报表</w:t>
      </w:r>
      <w:r>
        <w:rPr>
          <w:rFonts w:hint="eastAsia" w:ascii="宋体" w:hAnsi="宋体" w:eastAsia="宋体" w:cs="Times New Roman"/>
          <w:color w:val="auto"/>
          <w:sz w:val="24"/>
          <w:highlight w:val="none"/>
        </w:rPr>
        <w:t xml:space="preserve">”，投标人至少提供资产负债表、利润表、现金流量表，投标人成立不满一年无需提供。</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11.4“依法缴纳税收的相关材料”，投标人应提供近期缴纳税收的凭据。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11.5“依法缴纳社会保障资金的相关材料”，投标人应提供近期缴纳社会保险的凭据。</w:t>
      </w:r>
      <w:r/>
    </w:p>
    <w:p>
      <w:pPr>
        <w:ind w:firstLine="480"/>
        <w:pageBreakBefore w:val="0"/>
        <w:spacing w:line="460" w:lineRule="exact"/>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11.6依法免税或不需要缴纳社会保障资金的投标人，应提供相应文件证明其依法免税或不需要缴纳社会保障资金。</w:t>
      </w:r>
      <w:r/>
    </w:p>
    <w:p>
      <w:pPr>
        <w:ind w:firstLine="480"/>
        <w:pageBreakBefore w:val="0"/>
        <w:spacing w:line="460" w:lineRule="exact"/>
        <w:widowControl w:val="off"/>
        <w:rPr>
          <w:rFonts w:hint="eastAsia" w:ascii="宋体" w:hAnsi="宋体" w:eastAsia="宋体" w:cs="宋体"/>
          <w:color w:val="auto"/>
          <w:highlight w:val="none"/>
        </w:rPr>
      </w:pPr>
      <w:r>
        <w:rPr>
          <w:rFonts w:hint="eastAsia" w:ascii="宋体" w:hAnsi="宋体" w:eastAsia="宋体" w:cs="Times New Roman"/>
          <w:color w:val="auto"/>
          <w:sz w:val="24"/>
          <w:szCs w:val="24"/>
          <w:highlight w:val="none"/>
          <w:lang w:val="en-US" w:eastAsia="zh-CN"/>
        </w:rPr>
        <w:t xml:space="preserve">11.7“申请人的资格要求”和“资格审查资料”中的“近期”是指近两年以来的任一时间段。</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12、投标分项报价表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12.1投标人应按照招标文件规定格式填报投标分项报价表。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12.2投标货币。投标文件中的单价和总价无特殊规定的采用人民币报价，以元为单位标注。招标文件中另有规定的按规定执行。</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12.3报价说明：</w:t>
      </w:r>
      <w:r>
        <w:rPr>
          <w:rFonts w:hint="eastAsia" w:ascii="宋体" w:hAnsi="宋体" w:eastAsia="宋体" w:cs="宋体"/>
          <w:color w:val="auto"/>
          <w:highlight w:val="none"/>
          <w:lang w:val="en-US" w:eastAsia="zh-CN"/>
        </w:rPr>
        <w:t xml:space="preserve">主要包括投标人履约过程中的人工、设备、差旅、住宿、保险、税金、验收、后期服务(如有)、招投标费用、利润、与项目相关的其他所有费用等</w:t>
      </w:r>
      <w:r/>
    </w:p>
    <w:p>
      <w:pPr>
        <w:pStyle w:val="822"/>
        <w:ind w:firstLine="7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13、技术要求响应及偏离表、商务要求响应及偏离表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13.1投标人需对招标文件中的技术要求与商务要求逐项作出响应或偏离，并说明原因。</w:t>
      </w:r>
      <w:r/>
    </w:p>
    <w:p>
      <w:pPr>
        <w:pStyle w:val="822"/>
        <w:ind w:firstLine="480"/>
        <w:jc w:val="both"/>
        <w:pageBreakBefore w:val="0"/>
        <w:spacing w:beforeAutospacing="0" w:afterAutospacing="0" w:line="480" w:lineRule="exact"/>
        <w:widowControl w:val="off"/>
        <w:tabs>
          <w:tab w:val="left" w:pos="103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13.2投标人可在投标文件中提供认为需要的其他技术文件或说明。</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17" w:name="_Toc14577359"/>
      <w:r/>
      <w:bookmarkStart w:id="118" w:name="_Toc49090510"/>
      <w:r>
        <w:rPr>
          <w:rFonts w:hint="eastAsia" w:ascii="宋体" w:hAnsi="宋体" w:eastAsia="宋体" w:cs="宋体"/>
          <w:color w:val="auto"/>
          <w:highlight w:val="none"/>
        </w:rPr>
        <w:t xml:space="preserve">14、投标函和开标一览表</w:t>
      </w:r>
      <w:bookmarkEnd w:id="117"/>
      <w:r/>
      <w:bookmarkEnd w:id="118"/>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14.1投标人应按照招标文件中提供的格式完整、正确填写投标函、开标一览表。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highlight w:val="none"/>
        </w:rPr>
        <w:t xml:space="preserve">。</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19" w:name="_Toc49090511"/>
      <w:r/>
      <w:bookmarkStart w:id="120" w:name="_Toc14577360"/>
      <w:r>
        <w:rPr>
          <w:rFonts w:hint="eastAsia" w:ascii="宋体" w:hAnsi="宋体" w:eastAsia="宋体" w:cs="宋体"/>
          <w:color w:val="auto"/>
          <w:highlight w:val="none"/>
        </w:rPr>
        <w:t xml:space="preserve">15、投标有效期</w:t>
      </w:r>
      <w:bookmarkEnd w:id="119"/>
      <w:r/>
      <w:bookmarkEnd w:id="120"/>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15.1投标有效期为采购人规定的开标之日后</w:t>
      </w:r>
      <w:r>
        <w:rPr>
          <w:rFonts w:hint="eastAsia" w:ascii="宋体" w:hAnsi="宋体" w:eastAsia="宋体" w:cs="宋体"/>
          <w:b/>
          <w:color w:val="auto"/>
          <w:highlight w:val="none"/>
          <w:u w:val="single"/>
        </w:rPr>
        <w:t xml:space="preserve">九十（90）天</w:t>
      </w:r>
      <w:r>
        <w:rPr>
          <w:rFonts w:hint="eastAsia" w:ascii="宋体" w:hAnsi="宋体" w:eastAsia="宋体" w:cs="宋体"/>
          <w:color w:val="auto"/>
          <w:highlight w:val="none"/>
        </w:rPr>
        <w:t xml:space="preserve">。投标有效期比规定短的将被视为未实质性响应招标文件而予以拒绝。</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16、投标有效期的延长</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r/>
    </w:p>
    <w:p>
      <w:pPr>
        <w:pStyle w:val="82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121" w:name="_Toc16938540"/>
      <w:r/>
      <w:bookmarkStart w:id="122" w:name="_Toc513029224"/>
      <w:r/>
      <w:bookmarkStart w:id="123" w:name="_Toc120614217"/>
      <w:r/>
      <w:bookmarkStart w:id="124" w:name="_Toc20823296"/>
      <w:r>
        <w:rPr>
          <w:rFonts w:hint="eastAsia" w:ascii="宋体" w:hAnsi="宋体" w:eastAsia="宋体" w:cs="宋体"/>
          <w:b/>
          <w:color w:val="auto"/>
          <w:highlight w:val="none"/>
        </w:rPr>
        <w:t xml:space="preserve">四、投标文件的递交</w:t>
      </w:r>
      <w:bookmarkEnd w:id="121"/>
      <w:r/>
      <w:bookmarkEnd w:id="122"/>
      <w:r/>
      <w:bookmarkEnd w:id="123"/>
      <w:r/>
      <w:bookmarkEnd w:id="124"/>
      <w:r/>
      <w:r/>
    </w:p>
    <w:p>
      <w:pPr>
        <w:pStyle w:val="822"/>
        <w:ind w:firstLine="56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25" w:name="_Toc20823297"/>
      <w:r/>
      <w:bookmarkStart w:id="126" w:name="_Toc462564084"/>
      <w:r/>
      <w:bookmarkStart w:id="127" w:name="_Toc16938541"/>
      <w:r/>
      <w:bookmarkStart w:id="128" w:name="_Toc513029225"/>
      <w:r>
        <w:rPr>
          <w:rFonts w:hint="eastAsia" w:ascii="宋体" w:hAnsi="宋体" w:eastAsia="宋体" w:cs="宋体"/>
          <w:color w:val="auto"/>
          <w:highlight w:val="none"/>
        </w:rPr>
        <w:t xml:space="preserve">17、投标文件</w:t>
      </w:r>
      <w:bookmarkEnd w:id="125"/>
      <w:r/>
      <w:bookmarkEnd w:id="126"/>
      <w:r/>
      <w:bookmarkEnd w:id="127"/>
      <w:r/>
      <w:bookmarkEnd w:id="128"/>
      <w:r>
        <w:rPr>
          <w:rFonts w:hint="eastAsia" w:ascii="宋体" w:hAnsi="宋体" w:eastAsia="宋体" w:cs="宋体"/>
          <w:color w:val="auto"/>
          <w:highlight w:val="none"/>
        </w:rPr>
        <w:t xml:space="preserve">的递交</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17.1 电子投标文件的递交</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投标人应当按照《操作手册》规定，在投标截止时间前制作并上传电子投标文件。</w:t>
      </w:r>
      <w:bookmarkStart w:id="129" w:name="_Toc20823298"/>
      <w:r/>
      <w:bookmarkEnd w:id="129"/>
      <w:r/>
      <w:bookmarkStart w:id="130" w:name="_Toc16938542"/>
      <w:r/>
      <w:bookmarkEnd w:id="130"/>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18、投标截止时间</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18.1投标人上传电子投标文件的时间不得迟于招标公告中规定的投标截止时间。</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18.2采购人可以按照规定，通过修改招标文件酌情延长投标截止时间，在此情况下，投标人的所有权利和义务以及投标人受制的截止时间均应以延长后新的截止时间为准。</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31" w:name="_Toc20823299"/>
      <w:r/>
      <w:bookmarkStart w:id="132" w:name="_Toc16938543"/>
      <w:r/>
      <w:bookmarkStart w:id="133" w:name="_Toc513029227"/>
      <w:r>
        <w:rPr>
          <w:rFonts w:hint="eastAsia" w:ascii="宋体" w:hAnsi="宋体" w:eastAsia="宋体" w:cs="宋体"/>
          <w:color w:val="auto"/>
          <w:highlight w:val="none"/>
        </w:rPr>
        <w:t xml:space="preserve">19、投标文件</w:t>
      </w:r>
      <w:bookmarkEnd w:id="131"/>
      <w:r/>
      <w:bookmarkEnd w:id="132"/>
      <w:r/>
      <w:bookmarkEnd w:id="133"/>
      <w:r>
        <w:rPr>
          <w:rFonts w:hint="eastAsia" w:ascii="宋体" w:hAnsi="宋体" w:eastAsia="宋体" w:cs="宋体"/>
          <w:color w:val="auto"/>
          <w:highlight w:val="none"/>
        </w:rPr>
        <w:t xml:space="preserve">的拒收</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19.1采购人拒绝接收在其规定的投标截止时间后上传的任何投标文件。</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34" w:name="_Toc16938544"/>
      <w:r/>
      <w:bookmarkStart w:id="135" w:name="_Toc20823300"/>
      <w:r/>
      <w:bookmarkStart w:id="136" w:name="_Toc513029228"/>
      <w:r>
        <w:rPr>
          <w:rFonts w:hint="eastAsia" w:ascii="宋体" w:hAnsi="宋体" w:eastAsia="宋体" w:cs="宋体"/>
          <w:color w:val="auto"/>
          <w:highlight w:val="none"/>
        </w:rPr>
        <w:t xml:space="preserve">20、投标文件的撤回和修改</w:t>
      </w:r>
      <w:bookmarkEnd w:id="134"/>
      <w:r/>
      <w:bookmarkEnd w:id="135"/>
      <w:r/>
      <w:bookmarkEnd w:id="136"/>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20.1投标文件的撤回</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20.1.1电子投标文件的撤回</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投标人可在投标截止时间前，撤回其电子投标文件，具体操作方法见《操作手册》。</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20.1.2投标人撤回电子投标文件，则认为其不再参与本项目投标活动。</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 投标文件的修改</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20.2.1投标人可在投标截止时间前，对其电子投标文件进行修改，具体操作方法见《操作手册》。</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20.2.2在投标截止时间之后，投标人不得对其电子投标文件作任何修改。</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20.3在投标截止时间至招标文件中规定的投标有效期满之间的这段时间内，投标人不得撤回其投标。</w:t>
      </w:r>
      <w:r/>
    </w:p>
    <w:p>
      <w:pPr>
        <w:pStyle w:val="82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bookmarkStart w:id="137" w:name="_Toc120614218"/>
      <w:r/>
      <w:bookmarkStart w:id="138" w:name="_Toc20823301"/>
      <w:r/>
      <w:bookmarkStart w:id="139" w:name="_Toc16938545"/>
      <w:r/>
      <w:bookmarkStart w:id="140" w:name="_Toc513029229"/>
      <w:r>
        <w:rPr>
          <w:rFonts w:hint="eastAsia" w:ascii="宋体" w:hAnsi="宋体" w:eastAsia="宋体" w:cs="宋体"/>
          <w:b/>
          <w:color w:val="auto"/>
          <w:highlight w:val="none"/>
        </w:rPr>
        <w:t xml:space="preserve">五、开标与评标</w:t>
      </w:r>
      <w:bookmarkEnd w:id="137"/>
      <w:r/>
      <w:bookmarkEnd w:id="138"/>
      <w:r/>
      <w:bookmarkEnd w:id="139"/>
      <w:r/>
      <w:bookmarkEnd w:id="140"/>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1" w:name="_Toc513029230"/>
      <w:r/>
      <w:bookmarkStart w:id="142" w:name="_Toc20823302"/>
      <w:r/>
      <w:bookmarkStart w:id="143" w:name="_Toc16938546"/>
      <w:r>
        <w:rPr>
          <w:rFonts w:hint="eastAsia" w:ascii="宋体" w:hAnsi="宋体" w:eastAsia="宋体" w:cs="宋体"/>
          <w:color w:val="auto"/>
          <w:highlight w:val="none"/>
        </w:rPr>
        <w:t xml:space="preserve">21、开标</w:t>
      </w:r>
      <w:bookmarkEnd w:id="141"/>
      <w:r/>
      <w:bookmarkEnd w:id="142"/>
      <w:r/>
      <w:bookmarkEnd w:id="143"/>
      <w:r/>
      <w:r/>
    </w:p>
    <w:p>
      <w:pPr>
        <w:pStyle w:val="822"/>
        <w:ind w:firstLine="36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21.1采购人将在招标公告中规定的时间和地点组织公开开标。投标人应当按照《操作手册》规定，参加开标活动和在苏采云系统规定的时间内对投标文件进行解密。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21.2开标仪式由采购人组织。苏采云系统将自动对项目进行开标，并宣布各投标人名称和投标价格。</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21.3投标人在开标过程中涉及到的投标文件解密、开标结果确认等工作，应按照《操作手册》规定执行。</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21.4投标人如果对开标过程和开标记录有疑义，应当根据《操作手册》规定提出，如苏采云系统中《开标记录表》宣布后5分钟内未提出的，视同认可开标结果。</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4" w:name="_Toc16938547"/>
      <w:r/>
      <w:bookmarkStart w:id="145" w:name="_Toc20823303"/>
      <w:r/>
      <w:bookmarkStart w:id="146" w:name="_Toc513029231"/>
      <w:r>
        <w:rPr>
          <w:rFonts w:hint="eastAsia" w:ascii="宋体" w:hAnsi="宋体" w:eastAsia="宋体" w:cs="宋体"/>
          <w:color w:val="auto"/>
          <w:highlight w:val="none"/>
        </w:rPr>
        <w:t xml:space="preserve">22、评标委员会</w:t>
      </w:r>
      <w:bookmarkEnd w:id="144"/>
      <w:r/>
      <w:bookmarkEnd w:id="145"/>
      <w:r/>
      <w:bookmarkEnd w:id="146"/>
      <w:r/>
      <w:r/>
    </w:p>
    <w:p>
      <w:pPr>
        <w:pStyle w:val="82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22.1开标后，采购人将立即组织评标委员会（以下简称评委会）进行评标。</w:t>
      </w:r>
      <w:r/>
    </w:p>
    <w:p>
      <w:pPr>
        <w:pStyle w:val="82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22.2评委会由采购人代表和有关技术、经济等方面的专家组成，且人员构成符合政府采购有关规定。</w:t>
      </w:r>
      <w:r/>
    </w:p>
    <w:p>
      <w:pPr>
        <w:pStyle w:val="82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22.3评委会独立工作，负责评审所有投标文件并确定中标</w:t>
      </w:r>
      <w:r>
        <w:rPr>
          <w:rFonts w:hint="eastAsia" w:ascii="宋体" w:hAnsi="宋体" w:eastAsia="宋体" w:cs="宋体"/>
          <w:color w:val="auto"/>
          <w:highlight w:val="none"/>
          <w:lang w:eastAsia="zh-CN"/>
        </w:rPr>
        <w:t xml:space="preserve">候选人</w:t>
      </w:r>
      <w:r>
        <w:rPr>
          <w:rFonts w:hint="eastAsia" w:ascii="宋体" w:hAnsi="宋体" w:eastAsia="宋体" w:cs="宋体"/>
          <w:color w:val="auto"/>
          <w:highlight w:val="none"/>
        </w:rPr>
        <w:t xml:space="preserve">。</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23、评标过程的保密与公正</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23.1凡是与审查、澄清、评价和比较投标的有关资料以及授标建议等，采购人、评委均不得向投标人或与评标无关的其他人员透露。</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23.2在评标过程中，投标人不得以任何行为影响评标过程，否则其投标文件将被作为无效投标文件。</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23.3采购人和评标委员会不向未中标的投标人解释未中标原因，也不公布评标过程中的相关细节。</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23.4采用综合评分法的项目，未中标的投标人可于中标结果公告期限届满之日起通过苏采云系统查看自己的评审得分及排序情况。（提醒：经办人在“江苏政府采购网”查询到中标结果后，再点击推送。招标文件定稿后该提醒删除）</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47" w:name="_Toc16938548"/>
      <w:r/>
      <w:bookmarkStart w:id="148" w:name="_Toc20823304"/>
      <w:r/>
      <w:bookmarkStart w:id="149" w:name="_Toc513029232"/>
      <w:r>
        <w:rPr>
          <w:rFonts w:hint="eastAsia" w:ascii="宋体" w:hAnsi="宋体" w:eastAsia="宋体" w:cs="宋体"/>
          <w:color w:val="auto"/>
          <w:highlight w:val="none"/>
        </w:rPr>
        <w:t xml:space="preserve">24、投标文件的澄清</w:t>
      </w:r>
      <w:bookmarkEnd w:id="147"/>
      <w:r/>
      <w:bookmarkEnd w:id="148"/>
      <w:r/>
      <w:bookmarkEnd w:id="149"/>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24.1评标期间，评委会对投标文件中含义不明确、同类问题表述不一致或者有明显文字和计算错误的内容，有权要求投标人作出必要的澄清、说明或者补正。</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投标人的澄清、说明或者补正不得超出投标文件的范围或者改变投标文件的实质性内容。</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评标委员会并非对每个投标人都做澄清要求。</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24.3接到评委会澄清、说明和补正要求的投标人如未按规定做出澄清、说明和补正，其风险由投标人自行承担。</w:t>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50" w:name="_Toc513029233"/>
      <w:r/>
      <w:bookmarkStart w:id="151" w:name="_Toc16938549"/>
      <w:r/>
      <w:bookmarkStart w:id="152" w:name="_Toc20823305"/>
      <w:r>
        <w:rPr>
          <w:rFonts w:hint="eastAsia" w:ascii="宋体" w:hAnsi="宋体" w:eastAsia="宋体" w:cs="宋体"/>
          <w:color w:val="auto"/>
          <w:highlight w:val="none"/>
        </w:rPr>
        <w:t xml:space="preserve">25、对投标文件的初审</w:t>
      </w:r>
      <w:bookmarkEnd w:id="150"/>
      <w:r/>
      <w:bookmarkEnd w:id="151"/>
      <w:r/>
      <w:bookmarkEnd w:id="152"/>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25.1投标文件初审分为资格审查和符合性审查。</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采购人在进行资格性审查的同时，将在“信用中国”网站（www.creditchina.gov.cn）查询投标人的信用记录，以确定投标人是否具备投标资格,查询结果留存并归档。</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25.1.3未通过资格审查或符合性审查的投标人，采购人将在苏采云系统中告知未通过资格审查或符合性审查的原因，评标结束后，采购人将不再告知未通过资格审查和符合性审查的原因。</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25.4评委会将对确定为实质性响应的投标进行进一步审核，确定其是否有计算上或累加上的算术错误，修正错误的原则如下：</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（1）投标文件中开标一览表内容与投标文件中相应内容不一致的，以开标一览表为准。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（2）大写金额和小写金额不一致的，以大写金额为准。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（3）单价金额小数点或者百分比有明显错位的，以开标一览表的总价为准，并修改单价。</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（4）总价金额与按单价汇总金额不一致的，以单价金额计算结果为准。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同时出现两种以上错误的，按照前款规定的顺序修正。</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2"/>
        <w:ind w:firstLine="420"/>
        <w:jc w:val="both"/>
        <w:pageBreakBefore w:val="0"/>
        <w:spacing w:beforeAutospacing="0" w:afterAutospacing="0" w:line="480" w:lineRule="exact"/>
        <w:widowControl w:val="off"/>
        <w:rPr>
          <w:rFonts w:hint="eastAsia" w:ascii="宋体" w:hAnsi="宋体" w:eastAsia="宋体" w:cs="宋体"/>
          <w:color w:val="auto"/>
          <w:highlight w:val="none"/>
        </w:rPr>
      </w:pPr>
      <w:r/>
      <w:bookmarkStart w:id="153" w:name="_Toc16938550"/>
      <w:r/>
      <w:bookmarkStart w:id="154" w:name="_Toc20823306"/>
      <w:r/>
      <w:bookmarkStart w:id="155" w:name="_Toc513029234"/>
      <w:r>
        <w:rPr>
          <w:rFonts w:hint="eastAsia" w:ascii="宋体" w:hAnsi="宋体" w:eastAsia="宋体" w:cs="宋体"/>
          <w:color w:val="auto"/>
          <w:highlight w:val="none"/>
        </w:rPr>
        <w:t xml:space="preserve">25.6投标人在开、评标全过程中应保持通讯畅通，及时登录苏采云系统查阅、答复相关信息，并安排专人与采购人及评标委员会联系。</w:t>
      </w:r>
      <w:bookmarkEnd w:id="153"/>
      <w:r/>
      <w:bookmarkEnd w:id="154"/>
      <w:r/>
      <w:bookmarkEnd w:id="155"/>
      <w:r/>
      <w:r/>
    </w:p>
    <w:p>
      <w:pPr>
        <w:pStyle w:val="822"/>
        <w:ind w:firstLine="42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26、无效投标条款和废标条款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bookmarkStart w:id="156" w:name="_Toc120614219"/>
      <w:r>
        <w:rPr>
          <w:rFonts w:hint="eastAsia" w:ascii="宋体" w:hAnsi="宋体" w:eastAsia="宋体" w:cs="宋体"/>
          <w:color w:val="auto"/>
          <w:sz w:val="24"/>
          <w:highlight w:val="none"/>
        </w:rPr>
        <w:t xml:space="preserve">26.1无效投标条款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 投标人在苏采云系统规定的时间内未成功解密电子投标文件的。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.1.2 投标人未按照招标文件要求上传电子投标文件的。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.1.3 同一投标人提交两个（含两个）以上不同的投标报价的。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.1.4 投标人不具备招标文件中规定资格要求的。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.1.5 投标人的报价超过了采购预算或最高限价的。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.1.6 未通过符合性审查的。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.1.7被授权人无法提供证明其为本单位正式职工的社会养老保险缴费证明的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.1.8由被授权人参加，但未随投标文件一起提交合法、有效的“授权委托书”的；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.1.9投标文件内容不全或关键字迹模糊、无法辨认的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.1.10投标文件修改处未加盖投标人公章的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.1.11未通过符合性审查的。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.1.12不符合招标文件中规定的实质性要求和条件的。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1.13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.1.14投标文件含有采购人不能接受的附加条件的。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.1.15投标人不能证明其报价合理性的，评标委员会应当将其作为无效投标处理。</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（一）评审过程中出现下列情形之一的，评标委员会应当启动异常低价投标审查程序：</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1.投标报价低于采购项目预算50% 的，即投标报价&lt;采购项目预算×50%；</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2.投标报价低于采购项目最高限价45% 的，即投标报价&lt;采购项目最高限价×45%；</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3.评标委员会认定的供应商报价过低、有可能影响产品质量或者不能诚信履约的其他情形。</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.1.16投标文件中所供服务周期（产品供货期限）、售后服务条款不符合招标文件相关条款要求或技术指标要求、产品的包装方式、检验标准等低于招标文件规定指标、要求的；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.1.17以他人的名义投标、串通投标、以行贿手段谋取中标或者以其他弄虚作假方式投标的；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.1.18组成联合体，投标文件未附联合体协议的。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.1.19投标文件未按照招标文件要求签署或加盖CA电子公章的。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.1.20其他法律、法规及本招标文件规定的属无效投标的情形。</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.2废标条款</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.2.1符合专业条件的供应商或者对招标文件作实质响应的供应商不足三家的。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.2.2出现影响采购公正的违法、违规行为的。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.2.3因重大变故，采购任务取消的。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.2.4评标委员会认定招标文件存在歧义、重大缺陷导致评审工作无法进行。</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.2.5因苏采云系统系统故障原因造成开标不成功的。</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.3投标截止时间结束后参加投标的供应商不足三家的处理：</w:t>
      </w:r>
      <w:r/>
    </w:p>
    <w:p>
      <w:pPr>
        <w:ind w:firstLine="480"/>
        <w:jc w:val="left"/>
        <w:keepLines w:val="0"/>
        <w:keepNext w:val="0"/>
        <w:pageBreakBefore w:val="0"/>
        <w:spacing w:after="0"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.3.1如出现投标截止时间结束后参加投标的供应商或者在评标期间对招标文件做出实质响应的供应商不足三家情况，按政府采购相关规定执行。</w:t>
      </w:r>
      <w:r/>
    </w:p>
    <w:p>
      <w:pPr>
        <w:pStyle w:val="822"/>
        <w:ind w:firstLine="482"/>
        <w:jc w:val="both"/>
        <w:keepLines/>
        <w:keepNext/>
        <w:pageBreakBefore w:val="0"/>
        <w:spacing w:before="145" w:beforeAutospacing="0" w:after="145"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六、定标</w:t>
      </w:r>
      <w:bookmarkEnd w:id="156"/>
      <w:r/>
      <w:r/>
    </w:p>
    <w:p>
      <w:pPr>
        <w:pStyle w:val="822"/>
        <w:ind w:firstLine="48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57" w:name="_Toc20823310"/>
      <w:r/>
      <w:bookmarkStart w:id="158" w:name="_Toc16938554"/>
      <w:r/>
      <w:bookmarkStart w:id="159" w:name="_Toc513029238"/>
      <w:r>
        <w:rPr>
          <w:rFonts w:hint="eastAsia" w:ascii="宋体" w:hAnsi="宋体" w:eastAsia="宋体" w:cs="宋体"/>
          <w:color w:val="auto"/>
          <w:highlight w:val="none"/>
        </w:rPr>
        <w:t xml:space="preserve">27、</w:t>
      </w:r>
      <w:bookmarkEnd w:id="157"/>
      <w:r>
        <w:rPr>
          <w:rFonts w:hint="eastAsia" w:ascii="宋体" w:hAnsi="宋体" w:eastAsia="宋体" w:cs="宋体"/>
          <w:color w:val="auto"/>
          <w:highlight w:val="none"/>
        </w:rPr>
        <w:t xml:space="preserve">确定</w:t>
      </w:r>
      <w:bookmarkEnd w:id="158"/>
      <w:r/>
      <w:bookmarkEnd w:id="159"/>
      <w:r>
        <w:rPr>
          <w:rFonts w:hint="eastAsia" w:ascii="宋体" w:hAnsi="宋体" w:eastAsia="宋体" w:cs="宋体"/>
          <w:color w:val="auto"/>
          <w:highlight w:val="none"/>
        </w:rPr>
        <w:t xml:space="preserve">中标单位</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27.1中标候选人的选取原则和数量见招标文件第五章规定。 </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27.2采购人应根据评委会推荐的中标候选人确定中标人。</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27.3采购人将在“中国政府采购网”、“江苏政府采购网”、“盐城市政府采购网”发布中标公告，公告期限为1个工作日。</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27.4若有充分证据证明，中标人出现下列情况之一的，一经查实，将被取消中标资格：</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27.4.1提供虚假材料谋取中标的。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27.4.2向采购人行贿或者提供其他不正当利益的。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27.4.3属于本文件规定的无效条件，但在评标过程中又未被评委会发现的。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27.4.4与采购人或者其他供应商恶意串通的。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27.4.5采取不正当手段诋毁、排挤其他供应商的。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bookmarkStart w:id="160" w:name="_Toc200451960"/>
      <w:r>
        <w:rPr>
          <w:rFonts w:hint="eastAsia" w:ascii="宋体" w:hAnsi="宋体" w:eastAsia="宋体" w:cs="宋体"/>
          <w:color w:val="auto"/>
          <w:highlight w:val="none"/>
        </w:rPr>
        <w:t xml:space="preserve">27.5 有下列情形之一的，视为投标人串通投标，投标无效：</w:t>
      </w:r>
      <w:bookmarkEnd w:id="160"/>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27.5.1不同投标人的投标文件由同一单位或者个人编制。</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27.5.2不同投标人委托同一单位或者个人办理投标事宜。</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27.5.3不同投标人的投标文件载明的项目管理成员或者联系人员为同一人。</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27.5.4不同投标人的投标文件异常一致或者投标报价呈规律性差异。</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28、质疑处理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28.1提出质疑的供应商应当是参与所质疑项目采购活动的供应商。潜在供应商依法获取其可质疑的采购文件的，可以对采购文件提出质疑。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28.2.1对可以质疑的采购文件提出质疑的，为收到采购文件之日或者采购文件公告期限届满之日；</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28.2.2对采购过程提出质疑的，为各采购程序环节结束之日；</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28.2.3对中标或者成交结果提出质疑的，为中标或者成交结果公告期限届满之日。</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供应商应当在法定质疑期内一次性提出针对同一采购程序环节的质疑。供应商如在法定期限内对同一采购程序环节提出多次质疑的，采购人将只对供应商第一次质疑作出答复。</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2"/>
        <w:ind w:firstLine="482"/>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人提出，由采购人负责答复。</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采购人只接收以纸质原件形式送达的质疑,采购人不接受未填写快递运单的快件。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质疑受理部门：</w:t>
      </w:r>
      <w:r>
        <w:rPr>
          <w:rFonts w:hint="eastAsia" w:ascii="宋体" w:hAnsi="宋体" w:cs="宋体"/>
          <w:color w:val="auto"/>
          <w:sz w:val="24"/>
          <w:highlight w:val="none"/>
        </w:rPr>
        <w:t xml:space="preserve">东台市</w:t>
      </w:r>
      <w:r>
        <w:rPr>
          <w:rFonts w:hint="eastAsia" w:ascii="宋体" w:hAnsi="宋体" w:cs="宋体"/>
          <w:color w:val="auto"/>
          <w:sz w:val="24"/>
          <w:highlight w:val="none"/>
        </w:rPr>
        <w:t xml:space="preserve">中医院</w:t>
      </w:r>
      <w:r>
        <w:rPr>
          <w:rFonts w:hint="eastAsia" w:ascii="宋体" w:hAnsi="宋体" w:cs="宋体"/>
          <w:color w:val="auto"/>
          <w:sz w:val="24"/>
          <w:highlight w:val="none"/>
        </w:rPr>
        <w:t xml:space="preserve"> </w:t>
      </w:r>
      <w:r/>
    </w:p>
    <w:p>
      <w:pPr>
        <w:ind w:firstLine="480"/>
        <w:spacing w:line="360" w:lineRule="auto"/>
        <w:rPr>
          <w:rFonts w:hint="eastAsia" w:ascii="宋体" w:hAnsi="宋体" w:cs="宋体" w:eastAsiaTheme="minorEastAsia"/>
          <w:color w:val="auto"/>
          <w:sz w:val="24"/>
          <w:highlight w:val="none"/>
        </w:rPr>
      </w:pPr>
      <w:r>
        <w:rPr>
          <w:rFonts w:hint="eastAsia" w:ascii="宋体" w:hAnsi="宋体" w:cs="宋体"/>
          <w:color w:val="auto"/>
          <w:sz w:val="24"/>
          <w:highlight w:val="none"/>
        </w:rPr>
        <w:t xml:space="preserve">联系地址：</w:t>
      </w:r>
      <w:r>
        <w:rPr>
          <w:rFonts w:hint="eastAsia" w:ascii="宋体" w:hAnsi="宋体" w:cs="宋体"/>
          <w:color w:val="auto"/>
          <w:sz w:val="24"/>
          <w:highlight w:val="none"/>
        </w:rPr>
        <w:t xml:space="preserve">东台市</w:t>
      </w:r>
      <w:r>
        <w:rPr>
          <w:rFonts w:hint="eastAsia" w:ascii="宋体" w:hAnsi="宋体" w:cs="宋体"/>
          <w:color w:val="auto"/>
          <w:sz w:val="24"/>
          <w:highlight w:val="none"/>
        </w:rPr>
        <w:t xml:space="preserve">雅居路198</w:t>
      </w:r>
      <w:r>
        <w:rPr>
          <w:rFonts w:hint="eastAsia" w:ascii="宋体" w:hAnsi="宋体" w:cs="宋体"/>
          <w:color w:val="auto"/>
          <w:sz w:val="24"/>
          <w:highlight w:val="none"/>
        </w:rPr>
        <w:t xml:space="preserve">号</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联系电话：13962098890</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 以下情形的质疑不予受理</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28.5.1内容不符合《政府采购质疑和投诉办法》第十二条规定的质疑。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28.5.2超出政府采购法定期限的质疑。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28.5.3以传真、电子邮件等方式递交的非原件形式的质疑。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28.5.4未参加投标活动的供应商或在投标活动中自身权益未受到损害的供应商所提出的质疑。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28.5.5供应商组成联合体参加投标，联合体中任何一方或多方未按要求签字、盖章、加盖公章的质疑。</w:t>
      </w:r>
      <w:r/>
    </w:p>
    <w:p>
      <w:pPr>
        <w:pStyle w:val="822"/>
        <w:ind w:firstLine="468"/>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29、中标通知书</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bookmarkStart w:id="161" w:name="_Toc16938552"/>
      <w:r/>
      <w:bookmarkStart w:id="162" w:name="_Toc20823308"/>
      <w:r/>
      <w:bookmarkStart w:id="163" w:name="_Toc120614220"/>
      <w:r/>
      <w:bookmarkStart w:id="164" w:name="_Toc513029236"/>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.l中标结果确定后，采购人将向中标人发出中标通知书。</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29.</w:t>
      </w:r>
      <w:r>
        <w:rPr>
          <w:rFonts w:hint="eastAsia" w:ascii="宋体" w:hAnsi="宋体" w:eastAsia="宋体" w:cs="宋体"/>
          <w:color w:val="auto"/>
          <w:highlight w:val="none"/>
        </w:rPr>
        <w:t xml:space="preserve">3中标通知书发出之前，如遇质疑、投诉、政策调整等情形，导致重新评审改变评标结果、采购项目流标、重新招标等情形的，采购人将停止发放中标通知书，且不承担由此给供应商造成的经济损失等任何后果。在正式发出中标通知书之前，供应商为完成项目付出的所有成本均由供应商自行承担。</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rPr>
        <w:t xml:space="preserve">七、授予合同</w:t>
      </w:r>
      <w:bookmarkEnd w:id="161"/>
      <w:r/>
      <w:bookmarkEnd w:id="162"/>
      <w:r/>
      <w:bookmarkEnd w:id="163"/>
      <w:r/>
      <w:bookmarkEnd w:id="164"/>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bookmarkStart w:id="165" w:name="_Toc20823309"/>
      <w:r/>
      <w:bookmarkStart w:id="166" w:name="_Toc16938553"/>
      <w:r/>
      <w:bookmarkStart w:id="167" w:name="_Toc513029237"/>
      <w:r>
        <w:rPr>
          <w:rFonts w:hint="eastAsia" w:ascii="宋体" w:hAnsi="宋体" w:eastAsia="宋体" w:cs="宋体"/>
          <w:color w:val="auto"/>
          <w:highlight w:val="none"/>
        </w:rPr>
        <w:t xml:space="preserve">30.签订合同</w:t>
      </w:r>
      <w:bookmarkEnd w:id="165"/>
      <w:r/>
      <w:bookmarkEnd w:id="166"/>
      <w:r/>
      <w:bookmarkEnd w:id="167"/>
      <w:r/>
      <w:r/>
    </w:p>
    <w:p>
      <w:pPr>
        <w:pStyle w:val="82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30.l中标人应当在中标通知书发出之日起三十日内，按照招标文件确定的事项与采购人签订政府采购合同。</w:t>
      </w:r>
      <w:r/>
    </w:p>
    <w:p>
      <w:pPr>
        <w:pStyle w:val="82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30.2招标文件、中标人的投标文件及招标过程中有关澄清、承诺文件均应作为合同附件。</w:t>
      </w:r>
      <w:r/>
    </w:p>
    <w:p>
      <w:pPr>
        <w:pStyle w:val="82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30.3签订合同后，</w:t>
      </w:r>
      <w:r>
        <w:rPr>
          <w:rFonts w:hint="eastAsia" w:ascii="宋体" w:hAnsi="宋体" w:eastAsia="宋体" w:cs="宋体"/>
          <w:i/>
          <w:color w:val="auto"/>
          <w:highlight w:val="none"/>
          <w:u w:val="single"/>
        </w:rPr>
        <w:t xml:space="preserve">中标人不得将合同标的进行转包</w:t>
      </w:r>
      <w:r>
        <w:rPr>
          <w:rFonts w:hint="eastAsia" w:ascii="宋体" w:hAnsi="宋体" w:eastAsia="宋体" w:cs="宋体"/>
          <w:color w:val="auto"/>
          <w:highlight w:val="none"/>
        </w:rPr>
        <w:t xml:space="preserve">。未经采购人同意，中标人也不得采用分包的形式履行合同，否则采购人有权终止合同。转包或分包造成采购人损失的，中标人应承担相应赔偿责任。</w:t>
      </w:r>
      <w:r/>
    </w:p>
    <w:p>
      <w:pPr>
        <w:pStyle w:val="82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4中标人放弃中标或不按招标文件和中标通知书规定与采购人订立合同，或者在订立合同时提出附加条件或者更改合同实质性内容的，采购人将取消中标人中标资格，作为不良行为予以记载。给采购人造成损失的应予以赔偿，同时承担相应的法律责任。</w:t>
      </w:r>
      <w:r/>
    </w:p>
    <w:p>
      <w:pPr>
        <w:pStyle w:val="822"/>
        <w:ind w:firstLine="60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5中标人拒绝签订政府采购合同的，采购人可以从评审报告提出的中标候选投标人中，按照排序由高到低的原则确定下一候选人为中标人，也可以重新开展采购活动。拒绝签订政府采购合同的中标人不得参加对本项目重新开展的采购活动。</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31、服务（包含与服务相关的货物）的追加</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32.政府采购政策功能落实</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32.1政府采购线上合同信用融资政策</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32.2进口产品</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32.3中小企业、监狱企业及残疾人福利性单位</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32.3.1中小企业定义：</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中小企业是</w:t>
      </w:r>
      <w:r>
        <w:rPr>
          <w:rFonts w:hint="eastAsia" w:ascii="宋体" w:hAnsi="宋体" w:eastAsia="宋体" w:cs="宋体"/>
          <w:color w:val="auto"/>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32.3.2供应商提供的货物、工程或者服务符合下列情形的，享受中小企业扶持政策：</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32.3.2.1在货物采购项目中，货物由中小企业制造，即货物由中小企业生产且使用该中小企业商号或者注册商标；</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32.3.2.2在工程采购项目中，工程由中小企业承建，即工程施工单位为中小企业；</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32.3.2.3在服务采购项目中，服务由中小企业承接，即提供服务的人员为中小企业依照《中华人民共和国劳动合同法》订立劳动合同的从业人员。</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32.3.3在货物采购项目中，供应商提供的货物既有中小企业制造货物，也有大型企业制造货物的，不享受中小企业扶持政策。</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32.3.4以联合体形式参加政府采购活动，联合体各方均为中小企业的，联合体视同中小企业。其中，联合体各方均为小微企业的，联合体视同小微企业。</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32.3.6残疾人福利单位定义：享受政府采购支持政策的残疾人福利性单位应当同时满足以下条件：</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32.3.6.1安置的残疾人占本单位在职职工人数的比例不低于25%（含25%），并且安置的残疾人人数不少于10 人（含10 人）；</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32.3.6.2依法与安置的每位残疾人签订了一年以上（含一年）的劳动合同或服务协议；</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32.3.6.3为安置的每位残疾人按月足额缴纳了基本养老保险、基本医疗保险、失业保险、工伤保险和生育保险等社会保险费；</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32.3.6.4通过银行等金融机构向安置的每位残疾人，按月支付了不低于单位所在区县适用的经省级人民政府批准的月最低工资标准的工资；</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32.3.6.5提供本单位制造的货物、承担的工程或者服务（以下简称产品），或者提供其他残疾人福利性单位制造的货物（不包括使用非残疾人福利性单位注册商标的货物）；</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32.3.7本项目是否专门面向中小企业预留采购份额见第一章《招标公告》。</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32.3.8采购标的对应的中小企业划分标准所属行业见第四章《采购需求》。</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32.3.9小微企业价格评审优惠的政策：见第五章《评标方法和评标标准》。</w:t>
      </w:r>
      <w:r/>
    </w:p>
    <w:p>
      <w:pPr>
        <w:pStyle w:val="822"/>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32.4政府采购节能产品、环境标志产品</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32.4.1严格执行政府采购关于支持</w:t>
      </w:r>
      <w:r>
        <w:rPr>
          <w:rFonts w:hint="eastAsia" w:ascii="宋体" w:hAnsi="宋体" w:eastAsia="宋体" w:cs="宋体"/>
          <w:color w:val="auto"/>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32.5绿色包装</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32.6政府采购创新产品</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采购人优先采购各级政府部门公开发布的有效期内的创新产品、创新服务、首台套、首购首用等《目录》的创新产品。</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32.7绿色数据中心政策 </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widowControl w:val="off"/>
        <w:tabs>
          <w:tab w:val="left" w:pos="138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32.8履约保证金政策</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确需收取履约保证金的，履约保证金的缴纳形式：</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如以履约保函（保险）形式缴纳履约保证金，供应商可通过政府采购电子履约保函（保险）平台（www.jsdzbh.com）在线申请履约保函（保险）。</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33. 预付款制度</w:t>
      </w:r>
      <w:r/>
    </w:p>
    <w:p>
      <w:pPr>
        <w:pStyle w:val="822"/>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本项目落实预付款制度，预付款比例为</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。在签订合同时，中标、成交供应商明确书面表示无需预付款或者主动要求降低预付款比例的，采购人可就预付款比例作相应调整。</w:t>
      </w:r>
      <w:r/>
    </w:p>
    <w:p>
      <w:pPr>
        <w:pStyle w:val="82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2"/>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rPr>
          <w:rFonts w:hint="eastAsia" w:ascii="黑体" w:hAnsi="宋体" w:eastAsia="黑体" w:cs="黑体"/>
          <w:color w:val="auto"/>
          <w:sz w:val="40"/>
          <w:szCs w:val="40"/>
          <w:highlight w:val="none"/>
        </w:rPr>
      </w:pPr>
      <w:r>
        <w:rPr>
          <w:rFonts w:hint="eastAsia" w:ascii="黑体" w:hAnsi="宋体" w:eastAsia="黑体" w:cs="黑体"/>
          <w:color w:val="auto"/>
          <w:sz w:val="40"/>
          <w:szCs w:val="40"/>
          <w:highlight w:val="none"/>
        </w:rPr>
        <w:br w:type="page" w:clear="all"/>
      </w:r>
      <w:r/>
    </w:p>
    <w:p>
      <w:pPr>
        <w:jc w:val="center"/>
        <w:keepLines w:val="0"/>
        <w:keepNext w:val="0"/>
        <w:pageBreakBefore w:val="0"/>
        <w:spacing w:line="500" w:lineRule="exact"/>
        <w:widowControl w:val="off"/>
        <w:rPr>
          <w:color w:val="auto"/>
          <w:sz w:val="40"/>
          <w:szCs w:val="40"/>
          <w:highlight w:val="none"/>
        </w:rPr>
      </w:pPr>
      <w:r>
        <w:rPr>
          <w:rFonts w:hint="eastAsia" w:ascii="黑体" w:hAnsi="宋体" w:eastAsia="黑体" w:cs="黑体"/>
          <w:color w:val="auto"/>
          <w:sz w:val="40"/>
          <w:szCs w:val="40"/>
          <w:highlight w:val="none"/>
        </w:rPr>
        <w:t xml:space="preserve">第三章  合同文本</w:t>
      </w:r>
      <w:r/>
    </w:p>
    <w:p>
      <w:pPr>
        <w:pStyle w:val="822"/>
        <w:ind w:firstLine="480"/>
        <w:jc w:val="both"/>
        <w:keepLines w:val="0"/>
        <w:keepNext w:val="0"/>
        <w:pageBreakBefore w:val="0"/>
        <w:spacing w:beforeAutospacing="0" w:afterAutospacing="0" w:line="500" w:lineRule="exact"/>
        <w:widowControl w:val="off"/>
        <w:rPr>
          <w:color w:val="auto"/>
          <w:sz w:val="24"/>
          <w:szCs w:val="24"/>
          <w:highlight w:val="none"/>
        </w:rPr>
      </w:pPr>
      <w:r/>
      <w:bookmarkStart w:id="168" w:name="_Toc513029243"/>
      <w:r/>
      <w:bookmarkStart w:id="169" w:name="_Toc16938559"/>
      <w:r/>
      <w:bookmarkStart w:id="170" w:name="_Toc20823315"/>
      <w:r>
        <w:rPr>
          <w:rFonts w:hint="eastAsia" w:ascii="宋体" w:hAnsi="宋体" w:eastAsia="宋体" w:cs="宋体"/>
          <w:color w:val="auto"/>
          <w:sz w:val="24"/>
          <w:szCs w:val="24"/>
          <w:highlight w:val="none"/>
        </w:rPr>
        <w:t xml:space="preserve">以下为中标后签定本项目合同的通用条款，中标人不得提出实质性的修改。</w:t>
      </w:r>
      <w:bookmarkEnd w:id="168"/>
      <w:r/>
      <w:bookmarkEnd w:id="169"/>
      <w:r/>
      <w:bookmarkEnd w:id="170"/>
      <w:r/>
      <w:r/>
    </w:p>
    <w:p>
      <w:pPr>
        <w:pStyle w:val="822"/>
        <w:jc w:val="center"/>
        <w:keepLines w:val="0"/>
        <w:keepNext w:val="0"/>
        <w:pageBreakBefore w:val="0"/>
        <w:spacing w:before="145" w:beforeAutospacing="0" w:after="145" w:afterAutospacing="0" w:line="500" w:lineRule="exact"/>
        <w:widowControl w:val="off"/>
        <w:rPr>
          <w:sz w:val="24"/>
          <w:szCs w:val="24"/>
          <w:highlight w:val="none"/>
        </w:rPr>
      </w:pPr>
      <w:r/>
      <w:bookmarkStart w:id="171" w:name="_Toc479757211"/>
      <w:r/>
      <w:bookmarkStart w:id="172" w:name="_Toc16938590"/>
      <w:r/>
      <w:bookmarkStart w:id="173" w:name="_Hlt16619350"/>
      <w:r/>
      <w:bookmarkStart w:id="174" w:name="_Toc20823346"/>
      <w:r/>
      <w:bookmarkStart w:id="175" w:name="_Toc462564139"/>
      <w:r/>
      <w:bookmarkStart w:id="176" w:name="_Toc120614244"/>
      <w:r/>
      <w:bookmarkStart w:id="177" w:name="_Hlt16619369"/>
      <w:r>
        <w:rPr>
          <w:sz w:val="24"/>
          <w:szCs w:val="24"/>
          <w:highlight w:val="none"/>
        </w:rPr>
        <w:t xml:space="preserve"> </w:t>
      </w:r>
      <w:r>
        <w:rPr>
          <w:rFonts w:hint="eastAsia" w:ascii="宋体" w:hAnsi="宋体" w:eastAsia="宋体" w:cs="宋体"/>
          <w:b/>
          <w:color w:val="000000"/>
          <w:sz w:val="24"/>
          <w:szCs w:val="24"/>
          <w:highlight w:val="none"/>
        </w:rPr>
        <w:t xml:space="preserve">盐城市政府采购合同（服务）（合同编号）</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甲、乙双方根据盐城市政府采购中心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一、合同内容</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1.1 标的名称：东台市中医院256排及64排CT维保项目</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1.2标的质量：“合格”及以上，符合国家现行相关规范标准和招标文件技术要求</w:t>
      </w:r>
      <w:r/>
    </w:p>
    <w:p>
      <w:pPr>
        <w:pStyle w:val="82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1.3 标的数量（规模）：东台市中医院256排及64排CT维保项目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完成GE REVOLUTION256排及GE OPTIMACT680 64排CT维保服务。</w:t>
      </w:r>
      <w:r/>
    </w:p>
    <w:p>
      <w:pPr>
        <w:pStyle w:val="822"/>
        <w:jc w:val="both"/>
        <w:keepLines w:val="0"/>
        <w:keepNext w:val="0"/>
        <w:pageBreakBefore w:val="0"/>
        <w:spacing w:before="120" w:beforeAutospacing="0" w:after="120" w:afterAutospacing="0" w:line="500" w:lineRule="exact"/>
        <w:widowControl w:val="off"/>
        <w:rPr>
          <w:rFonts w:hint="eastAsia" w:eastAsia="宋体"/>
          <w:sz w:val="24"/>
          <w:szCs w:val="24"/>
          <w:highlight w:val="none"/>
          <w:lang w:val="en-US" w:eastAsia="zh-CN"/>
        </w:rPr>
      </w:pPr>
      <w:r>
        <w:rPr>
          <w:rFonts w:hint="eastAsia" w:ascii="宋体" w:hAnsi="宋体" w:eastAsia="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val="en-US" w:eastAsia="zh-CN"/>
        </w:rPr>
        <w:t xml:space="preserve">两年</w:t>
      </w:r>
      <w:r/>
    </w:p>
    <w:p>
      <w:pPr>
        <w:pStyle w:val="822"/>
        <w:jc w:val="both"/>
        <w:keepLines w:val="0"/>
        <w:keepNext w:val="0"/>
        <w:pageBreakBefore w:val="0"/>
        <w:spacing w:before="120" w:beforeAutospacing="0" w:after="120" w:afterAutospacing="0" w:line="500" w:lineRule="exact"/>
        <w:widowControl w:val="off"/>
        <w:rPr>
          <w:rFonts w:hint="default" w:eastAsia="宋体"/>
          <w:sz w:val="24"/>
          <w:szCs w:val="24"/>
          <w:highlight w:val="none"/>
          <w:lang w:val="en-US" w:eastAsia="zh-CN"/>
        </w:rPr>
      </w:pPr>
      <w:r>
        <w:rPr>
          <w:rFonts w:hint="eastAsia" w:ascii="宋体" w:hAnsi="宋体" w:eastAsia="宋体" w:cs="宋体"/>
          <w:color w:val="000000"/>
          <w:sz w:val="24"/>
          <w:szCs w:val="24"/>
          <w:highlight w:val="none"/>
        </w:rPr>
        <w:t xml:space="preserve">1.5 履行地点：</w:t>
      </w:r>
      <w:r>
        <w:rPr>
          <w:rFonts w:hint="eastAsia" w:ascii="宋体" w:hAnsi="宋体" w:eastAsia="宋体" w:cs="宋体"/>
          <w:color w:val="000000"/>
          <w:sz w:val="24"/>
          <w:szCs w:val="24"/>
          <w:highlight w:val="none"/>
          <w:lang w:val="en-US" w:eastAsia="zh-CN"/>
        </w:rPr>
        <w:t xml:space="preserve">东台市中医院</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1.6履行方式：详见招标文件采购需求。</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二、合同金额</w:t>
      </w:r>
      <w:r/>
    </w:p>
    <w:p>
      <w:pPr>
        <w:pStyle w:val="822"/>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sz w:val="24"/>
          <w:highlight w:val="none"/>
        </w:rPr>
      </w:pPr>
      <w:r>
        <w:rPr>
          <w:rFonts w:hint="eastAsia" w:ascii="宋体" w:hAnsi="宋体" w:eastAsia="宋体" w:cs="宋体"/>
          <w:color w:val="000000"/>
          <w:sz w:val="24"/>
          <w:szCs w:val="24"/>
          <w:highlight w:val="none"/>
        </w:rPr>
        <w:t xml:space="preserve">2.1本合同金额为：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元/月。合计为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val="en-US" w:eastAsia="zh-CN"/>
        </w:rPr>
        <w:t xml:space="preserve">/年；两年总金额为</w:t>
      </w:r>
      <w:r>
        <w:rPr>
          <w:rFonts w:hint="eastAsia" w:ascii="宋体" w:hAnsi="宋体" w:eastAsia="宋体" w:cs="宋体"/>
          <w:sz w:val="24"/>
          <w:highlight w:val="none"/>
        </w:rPr>
        <w:t xml:space="preserve">为（大写）：______________元整（￥_______元）人民币。</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三、技术资料</w:t>
      </w:r>
      <w:r/>
    </w:p>
    <w:p>
      <w:pPr>
        <w:pStyle w:val="82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3.1乙方应按招标文件规定的时间向甲方提供服务（包含与服务相关的货物）的有关技术资料。</w:t>
      </w:r>
      <w:r/>
    </w:p>
    <w:p>
      <w:pPr>
        <w:pStyle w:val="82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2"/>
        <w:ind w:left="412" w:hanging="41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四、知识产权</w:t>
      </w:r>
      <w:r/>
    </w:p>
    <w:p>
      <w:pPr>
        <w:pStyle w:val="822"/>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4.1</w:t>
      </w:r>
      <w:r>
        <w:rPr>
          <w:rFonts w:ascii="宋体" w:hAnsi="宋体" w:eastAsia="宋体" w:cs="宋体"/>
          <w:color w:val="000000"/>
          <w:highlight w:val="none"/>
        </w:rPr>
        <w:t xml:space="preserve">甲方向乙方提供的全部资料及乙方提交的全部成果资料其版权归甲方所有，乙方不得以任何方式转让或提供给第三方使用。</w:t>
      </w:r>
      <w:r/>
    </w:p>
    <w:p>
      <w:pPr>
        <w:pStyle w:val="822"/>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4.2乙方应保证甲方在使用、接受本合同服务（包含与服务相关的货物）或其任何一部分时不受第三方提出侵犯其专利权、版权、商标权和工业设计权等知识产权的起诉。一旦出现侵权，由乙方负全部责任。</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五、产权担保</w:t>
      </w:r>
      <w:r/>
    </w:p>
    <w:p>
      <w:pPr>
        <w:pStyle w:val="822"/>
        <w:ind w:left="408" w:hanging="408"/>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5.1乙方保证所交付的服务（包含与服务相关的货物）的所有权完全属于乙方且无任何抵押、查封等产权瑕疵。</w:t>
      </w:r>
      <w:r/>
    </w:p>
    <w:p>
      <w:pPr>
        <w:pStyle w:val="822"/>
        <w:ind w:left="410" w:hanging="41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六、履约保证金</w:t>
      </w:r>
      <w:r/>
    </w:p>
    <w:p>
      <w:pPr>
        <w:pStyle w:val="822"/>
        <w:jc w:val="both"/>
        <w:keepLines w:val="0"/>
        <w:keepNext w:val="0"/>
        <w:pageBreakBefore w:val="0"/>
        <w:spacing w:before="120" w:beforeAutospacing="0" w:after="120" w:afterAutospacing="0" w:line="50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w:t>
      </w:r>
      <w:r>
        <w:rPr>
          <w:rFonts w:hint="eastAsia" w:ascii="宋体" w:hAnsi="宋体" w:eastAsia="宋体" w:cs="宋体"/>
          <w:color w:val="000000"/>
          <w:sz w:val="24"/>
          <w:szCs w:val="24"/>
          <w:highlight w:val="none"/>
          <w:u w:val="single"/>
          <w:lang w:eastAsia="zh-CN"/>
        </w:rPr>
        <w:t xml:space="preserve">（年度中标价的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元作为本合同的履约保证金。</w:t>
      </w:r>
      <w:r/>
    </w:p>
    <w:p>
      <w:pPr>
        <w:pStyle w:val="822"/>
        <w:jc w:val="both"/>
        <w:keepLines w:val="0"/>
        <w:keepNext w:val="0"/>
        <w:pageBreakBefore w:val="0"/>
        <w:spacing w:beforeAutospacing="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（备注：对AA评级及以上政府采购供应商（需提供信用管理部门备案的第三方信用报告）免收履约保证金）</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22"/>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七、合同转包或分包</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7.3乙方如有转包或未经甲方同意的分包行为，甲方有权解除合同。</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八、合同款项支付</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8.1合同款项的支付方式及进度安排</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8.1.1</w:t>
      </w:r>
      <w:r>
        <w:rPr>
          <w:rFonts w:hint="eastAsia" w:ascii="宋体" w:hAnsi="宋体" w:eastAsia="宋体" w:cs="宋体"/>
          <w:color w:val="000000"/>
          <w:sz w:val="24"/>
          <w:szCs w:val="24"/>
          <w:highlight w:val="none"/>
          <w:u w:val="none"/>
        </w:rPr>
        <w:t xml:space="preserve">合同签订后支付年度30%的预付款，乙方按月及时提供考核资料（经甲方考核小组对服务人员考核并经医院确认）及结算依据【扣除考核违约金及其他的费用后】，并开据合法票据支付当月服务费。</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注：服务费按月考核付费，结算时须扣除已支付的预付款款项。</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8.1.2</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u w:val="none"/>
          <w:lang w:val="en-US" w:eastAsia="zh-CN"/>
        </w:rPr>
        <w:t xml:space="preserve">甲方每六个月支付一次服务费，</w:t>
      </w:r>
      <w:r>
        <w:rPr>
          <w:rFonts w:hint="eastAsia" w:ascii="宋体" w:hAnsi="宋体" w:eastAsia="宋体" w:cs="宋体"/>
          <w:color w:val="000000"/>
          <w:sz w:val="24"/>
          <w:szCs w:val="24"/>
          <w:highlight w:val="none"/>
          <w:u w:val="none"/>
        </w:rPr>
        <w:t xml:space="preserve">乙方</w:t>
      </w:r>
      <w:r>
        <w:rPr>
          <w:rFonts w:hint="eastAsia" w:ascii="宋体" w:hAnsi="宋体" w:eastAsia="宋体" w:cs="宋体"/>
          <w:color w:val="000000"/>
          <w:sz w:val="24"/>
          <w:szCs w:val="24"/>
          <w:highlight w:val="none"/>
          <w:u w:val="none"/>
          <w:lang w:val="en-US" w:eastAsia="zh-CN"/>
        </w:rPr>
        <w:t xml:space="preserve">须</w:t>
      </w:r>
      <w:r>
        <w:rPr>
          <w:rFonts w:hint="eastAsia" w:ascii="宋体" w:hAnsi="宋体" w:eastAsia="宋体" w:cs="宋体"/>
          <w:color w:val="000000"/>
          <w:sz w:val="24"/>
          <w:szCs w:val="24"/>
          <w:highlight w:val="none"/>
          <w:u w:val="none"/>
        </w:rPr>
        <w:t xml:space="preserve">开据合法票据。服务费的拨付一律通过乙方银行基本帐户非现金结算。</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lang w:val="en-US" w:eastAsia="zh-CN"/>
        </w:rPr>
        <w:t xml:space="preserve">8.1.3</w:t>
      </w:r>
      <w:r>
        <w:rPr>
          <w:rFonts w:hint="eastAsia" w:ascii="宋体" w:hAnsi="宋体" w:eastAsia="宋体" w:cs="宋体"/>
          <w:color w:val="000000"/>
          <w:sz w:val="24"/>
          <w:szCs w:val="24"/>
          <w:highlight w:val="none"/>
          <w:u w:val="none"/>
        </w:rPr>
        <w:t xml:space="preserve">、乙方在服务期内有下列行为，造成的不当损失而产生费用，要从当月支付给乙方的费用中扣除：（1）乙方要爱护与保管医院财产，如损坏医院设施等，按实际损失价值赔偿；（2）没有达到考核标准的，按考核标准中规定的扣除；（3）其它因乙方不作为或管理不严等，造成医院不良影响或损失；（4）部分与招标文件不符合的做法，或不履行其投标文件的承诺。</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九、税费</w:t>
      </w:r>
      <w:r/>
    </w:p>
    <w:p>
      <w:pPr>
        <w:pStyle w:val="822"/>
        <w:jc w:val="both"/>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9.1本合同执行中相关的一切税费均由乙方负担。</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十、项目验收</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10.1甲方依法组织履约验收工作。</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如有必要，甲方邀请参加本项目的其他供应商或第三方专业机构及专家参与验收，相关意见将作为验收书的参考资料。</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十一、违约责任</w:t>
      </w:r>
      <w:r/>
    </w:p>
    <w:p>
      <w:pPr>
        <w:pStyle w:val="822"/>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11.1甲方无正当理由拒绝接受乙方提供服务的，甲方向乙方偿付拒绝接受服务合同价款总值</w:t>
      </w:r>
      <w:r>
        <w:rPr>
          <w:rFonts w:hint="eastAsia" w:ascii="宋体" w:hAnsi="宋体" w:eastAsia="宋体" w:cs="宋体"/>
          <w:highlight w:val="none"/>
          <w:u w:val="single"/>
        </w:rPr>
        <w:t xml:space="preserve">1‰</w:t>
      </w:r>
      <w:r>
        <w:rPr>
          <w:rFonts w:hint="eastAsia" w:ascii="宋体" w:hAnsi="宋体" w:eastAsia="宋体" w:cs="宋体"/>
          <w:highlight w:val="none"/>
        </w:rPr>
        <w:t xml:space="preserve">的违约金。</w:t>
      </w:r>
      <w:r/>
    </w:p>
    <w:p>
      <w:pPr>
        <w:pStyle w:val="822"/>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11.2甲方无故逾期验收和办理合同款项支付手续的,甲方应按逾期付款总额</w:t>
      </w:r>
      <w:r>
        <w:rPr>
          <w:rFonts w:hint="eastAsia" w:ascii="宋体" w:hAnsi="宋体" w:eastAsia="宋体" w:cs="宋体"/>
          <w:color w:val="000000"/>
          <w:highlight w:val="none"/>
          <w:u w:val="single"/>
        </w:rPr>
        <w:t xml:space="preserve">的银行同期利率</w:t>
      </w:r>
      <w:r>
        <w:rPr>
          <w:rFonts w:hint="eastAsia" w:ascii="宋体" w:hAnsi="宋体" w:eastAsia="宋体" w:cs="宋体"/>
          <w:highlight w:val="none"/>
        </w:rPr>
        <w:t xml:space="preserve">每日向乙方支付违约金。   </w:t>
      </w:r>
      <w:r/>
    </w:p>
    <w:p>
      <w:pPr>
        <w:pStyle w:val="822"/>
        <w:ind w:firstLine="480"/>
        <w:jc w:val="both"/>
        <w:spacing w:beforeAutospacing="0" w:afterAutospacing="0" w:line="460" w:lineRule="exact"/>
        <w:rPr>
          <w:rFonts w:ascii="宋体" w:hAnsi="宋体" w:eastAsia="宋体" w:cs="宋体"/>
          <w:highlight w:val="none"/>
        </w:rPr>
      </w:pPr>
      <w:r>
        <w:rPr>
          <w:rFonts w:hint="eastAsia" w:ascii="宋体" w:hAnsi="宋体" w:eastAsia="宋体" w:cs="宋体"/>
          <w:highlight w:val="none"/>
        </w:rPr>
        <w:t xml:space="preserve">11.3乙方逾期（以投标承诺的编制期限为准）提供</w:t>
      </w:r>
      <w:r>
        <w:rPr>
          <w:rFonts w:hint="eastAsia" w:ascii="宋体" w:hAnsi="宋体" w:eastAsia="宋体" w:cs="宋体"/>
          <w:highlight w:val="none"/>
          <w:lang w:eastAsia="zh-CN"/>
        </w:rPr>
        <w:t xml:space="preserve">服务</w:t>
      </w:r>
      <w:r>
        <w:rPr>
          <w:rFonts w:hint="eastAsia" w:ascii="宋体" w:hAnsi="宋体" w:eastAsia="宋体" w:cs="宋体"/>
          <w:highlight w:val="none"/>
        </w:rPr>
        <w:t xml:space="preserve">的，违约金按合同价的0.5%元/天计扣罚款，由甲方从待付合同款项中扣除。如果违约金的扣减达到合同价的20%或超过约定的期限20日历天仍不能提供服务的，甲方可解除本合同。乙方因逾期提供服务或因其他违约行为导致甲方解除合同的，乙方应向甲方支付合同价款总额</w:t>
      </w:r>
      <w:r>
        <w:rPr>
          <w:rFonts w:hint="eastAsia" w:ascii="宋体" w:hAnsi="宋体" w:eastAsia="宋体" w:cs="宋体"/>
          <w:highlight w:val="none"/>
          <w:u w:val="single"/>
        </w:rPr>
        <w:t xml:space="preserve">20%</w:t>
      </w:r>
      <w:r>
        <w:rPr>
          <w:rFonts w:hint="eastAsia" w:ascii="宋体" w:hAnsi="宋体" w:eastAsia="宋体" w:cs="宋体"/>
          <w:highlight w:val="none"/>
        </w:rPr>
        <w:t xml:space="preserve">的违约金，如造成甲方损失超过违约金的，超出部分由乙方继续承担赔偿责任。 </w:t>
      </w:r>
      <w:r/>
    </w:p>
    <w:p>
      <w:pPr>
        <w:pStyle w:val="822"/>
        <w:ind w:firstLine="480"/>
        <w:jc w:val="both"/>
        <w:spacing w:beforeAutospacing="0" w:afterAutospacing="0" w:line="460" w:lineRule="exact"/>
        <w:rPr>
          <w:rFonts w:hint="eastAsia" w:ascii="宋体" w:hAnsi="宋体" w:eastAsia="宋体" w:cs="宋体"/>
          <w:highlight w:val="none"/>
        </w:rPr>
      </w:pPr>
      <w:r>
        <w:rPr>
          <w:rFonts w:hint="eastAsia" w:ascii="宋体" w:hAnsi="宋体" w:eastAsia="宋体" w:cs="宋体"/>
          <w:highlight w:val="none"/>
        </w:rPr>
        <w:t xml:space="preserve">11.4乙方所提供服务的标准不符合合同规定及招标文件规定标准的，甲方有权拒绝接受服务，并可单方面解除合同。</w:t>
      </w:r>
      <w:r/>
    </w:p>
    <w:p>
      <w:pPr>
        <w:pStyle w:val="822"/>
        <w:ind w:firstLine="480"/>
        <w:jc w:val="both"/>
        <w:spacing w:beforeAutospacing="0" w:afterAutospacing="0" w:line="460" w:lineRule="exact"/>
        <w:rPr>
          <w:rFonts w:hint="default" w:ascii="宋体" w:hAnsi="宋体" w:eastAsia="宋体" w:cs="宋体"/>
          <w:highlight w:val="none"/>
          <w:lang w:val="en-US" w:eastAsia="zh-CN"/>
        </w:rPr>
      </w:pPr>
      <w:r>
        <w:rPr>
          <w:rFonts w:hint="eastAsia" w:ascii="宋体" w:hAnsi="宋体" w:eastAsia="宋体" w:cs="宋体"/>
          <w:highlight w:val="none"/>
          <w:lang w:val="en-US" w:eastAsia="zh-CN"/>
        </w:rPr>
        <w:t xml:space="preserve">11.5</w:t>
      </w:r>
      <w:r>
        <w:rPr>
          <w:rFonts w:hint="eastAsia" w:ascii="宋体" w:hAnsi="宋体" w:eastAsia="宋体" w:cs="宋体"/>
          <w:highlight w:val="none"/>
        </w:rPr>
        <w:t xml:space="preserve">开机率保证：</w:t>
      </w:r>
      <w:bookmarkStart w:id="178" w:name="OLE_LINK3"/>
      <w:r>
        <w:rPr>
          <w:rFonts w:hint="eastAsia" w:ascii="宋体" w:hAnsi="宋体" w:eastAsia="宋体" w:cs="宋体"/>
          <w:highlight w:val="none"/>
        </w:rPr>
        <w:t xml:space="preserve">开机率≥97%，按全年 365 天计算</w:t>
      </w:r>
      <w:bookmarkEnd w:id="178"/>
      <w:r>
        <w:rPr>
          <w:rFonts w:hint="eastAsia" w:ascii="宋体" w:hAnsi="宋体" w:eastAsia="宋体" w:cs="宋体"/>
          <w:highlight w:val="none"/>
          <w:lang w:eastAsia="zh-CN"/>
        </w:rPr>
        <w:t xml:space="preserve">，</w:t>
      </w:r>
      <w:r>
        <w:rPr>
          <w:rFonts w:hint="eastAsia" w:ascii="宋体" w:hAnsi="宋体" w:eastAsia="宋体" w:cs="宋体"/>
          <w:highlight w:val="none"/>
        </w:rPr>
        <w:t xml:space="preserve">每年设备的停机时间不得超过1</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天，每超过1天维保顺延</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周。</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十二、不可抗力事件处理</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12.1在合同有效期内，任何一方因不可抗力事件导致不能履行合同，则合同履行期可延长，其延长期与不可抗力影响 期相同。</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12.2不可抗力事件发生后，应立即通知对方，并寄送有关权威机构出具的证明。</w:t>
      </w:r>
      <w:r/>
    </w:p>
    <w:p>
      <w:pPr>
        <w:pStyle w:val="822"/>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12.3不可抗力事件延续120天以上，双方应通过友好协商，确定是否继续履行合同。</w:t>
      </w:r>
      <w:r/>
    </w:p>
    <w:p>
      <w:pPr>
        <w:pStyle w:val="822"/>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甲乙双方的权利义务</w:t>
      </w:r>
      <w:r/>
    </w:p>
    <w:p>
      <w:pPr>
        <w:pStyle w:val="82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甲方权力与义务</w:t>
      </w:r>
      <w:r/>
    </w:p>
    <w:p>
      <w:pPr>
        <w:pStyle w:val="82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依照有关法律、法规和医院服务要求对乙方的经营范围、经营情况、卫生安全、用工情况和场地使用范围实行检查、监督和管理；对乙方违反合同规定的经营行为、发生重大事故、其它严重失职行为及违约行为有权制止、直至解除合同，并要求乙方承担违约责任。</w:t>
      </w:r>
      <w:r/>
    </w:p>
    <w:p>
      <w:pPr>
        <w:pStyle w:val="822"/>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甲方有权随时抽查乙方为甲方提供的服务质量，对存在的问题，甲方有权提出整改要求并给予经济处置。在接到甲方整改通知后，乙方需要及时提出整改方案，并纠正存在问题。如出现不服从甲方管理或严重影响医院运行的情况，甲方有权加重处罚，直至中止合同，并保持追究相关经济损失的权力。</w:t>
      </w:r>
      <w:r/>
    </w:p>
    <w:p>
      <w:pPr>
        <w:pStyle w:val="822"/>
        <w:ind w:left="482" w:hanging="64"/>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.甲方不得干涉乙方正常、合法经营活动。</w:t>
      </w:r>
      <w:r/>
    </w:p>
    <w:p>
      <w:pPr>
        <w:pStyle w:val="822"/>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乙方权力与义务</w:t>
      </w:r>
      <w:r/>
    </w:p>
    <w:p>
      <w:pPr>
        <w:pStyle w:val="822"/>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乙方根据招标文件及本合同约定向甲方提供设备的维保服务，设备的安全检查及运行状态检查，定期保养等。</w:t>
      </w:r>
      <w:r/>
    </w:p>
    <w:p>
      <w:pPr>
        <w:pStyle w:val="822"/>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响应时间：乙方接到甲方故障报修电话后1小时内响应，并委派维修人员在</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小时内赶到现场，如判定需要更换备件，自故障判定后平均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小时内备件到达并进行维修。</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乙方保证对用于保养及维修中需更换的零部件进行免费维修更换，所更换的零部件必须为原厂检测合格的或未拆封的全新配件。维保服务更换备件需提供原厂出厂证明等资料，同时配件具有制造商完整标识。</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4.每年至少提供4次专业保养（2次大保养，2次小保养），需满足江苏省医疗器械质控标准，并向甲方提供保养报告。</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5.更换核心备件（如球管、探测器）需为原厂全新备件，提供相关证明材料及该设备的质控检测报告（卫生监督所认可）。</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6.乙方需承担解决甲方GE REVOLUTION 256排及GE OPTIMA CT680 64排CT过往发生且未维修的故障。</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7.乙方提供原厂标准的安全升级、安全检查、质量保证并在合同期内提供厂家软件版本升级。</w:t>
      </w:r>
      <w:r/>
    </w:p>
    <w:p>
      <w:pPr>
        <w:pStyle w:val="822"/>
        <w:ind w:firstLine="480"/>
        <w:jc w:val="lef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8.具有售后服务支持热线，24小时*365天有工程师接听，并提供快速诊断和远程技术支持服务。</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四</w:t>
      </w:r>
      <w:r>
        <w:rPr>
          <w:rFonts w:hint="eastAsia" w:ascii="宋体" w:hAnsi="宋体" w:eastAsia="宋体" w:cs="宋体"/>
          <w:b/>
          <w:color w:val="000000"/>
          <w:sz w:val="24"/>
          <w:szCs w:val="24"/>
          <w:highlight w:val="none"/>
        </w:rPr>
        <w:t xml:space="preserve">、解决争议的方法</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.1双方在签订、履行合同中所发生的一切争议，应通过友好协商解决。如协商不成，由甲方住所地人民法院管辖。</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五</w:t>
      </w:r>
      <w:r>
        <w:rPr>
          <w:rFonts w:hint="eastAsia" w:ascii="宋体" w:hAnsi="宋体" w:eastAsia="宋体" w:cs="宋体"/>
          <w:b/>
          <w:color w:val="000000"/>
          <w:sz w:val="24"/>
          <w:szCs w:val="24"/>
          <w:highlight w:val="none"/>
        </w:rPr>
        <w:t xml:space="preserve">、合同生效及其</w:t>
      </w:r>
      <w:r>
        <w:rPr>
          <w:rFonts w:hint="eastAsia" w:ascii="宋体" w:hAnsi="宋体" w:eastAsia="宋体" w:cs="宋体"/>
          <w:b/>
          <w:color w:val="000000"/>
          <w:sz w:val="24"/>
          <w:szCs w:val="24"/>
          <w:highlight w:val="none"/>
          <w:lang w:eastAsia="zh-CN"/>
        </w:rPr>
        <w:t xml:space="preserve">他</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.1合同经双方法定代表人或授权委托代表人签字并加盖单位公章后生效。</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.2本合同未尽事宜，遵照《民法典》、《政府采购法》有关条文执行。</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.3 本合同正本一式两份，具有同等法律效力，甲方、乙方各执一份。</w:t>
      </w:r>
      <w:r/>
    </w:p>
    <w:p>
      <w:pPr>
        <w:pStyle w:val="822"/>
        <w:ind w:left="480" w:hanging="48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甲方：                        乙方： </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地址：                        地址： </w:t>
      </w:r>
      <w:r/>
    </w:p>
    <w:p>
      <w:pPr>
        <w:pStyle w:val="822"/>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  法定代表人或授权代表：        法定代表人或授权代表：</w:t>
      </w:r>
      <w:r/>
    </w:p>
    <w:p>
      <w:pPr>
        <w:pStyle w:val="822"/>
        <w:ind w:firstLine="240"/>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联系电话：               联系电话：          </w:t>
      </w:r>
      <w:r/>
    </w:p>
    <w:p>
      <w:pPr>
        <w:pStyle w:val="822"/>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                                          签订日期：      年    月   日</w:t>
      </w:r>
      <w:r/>
    </w:p>
    <w:p>
      <w:pPr>
        <w:pStyle w:val="822"/>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Calibri" w:hAnsi="Calibri" w:eastAsia="宋体" w:cs="Times New Roman"/>
          <w:b/>
          <w:color w:val="auto"/>
          <w:sz w:val="28"/>
          <w:szCs w:val="28"/>
          <w:highlight w:val="none"/>
        </w:rPr>
      </w:pPr>
      <w:r>
        <w:rPr>
          <w:rFonts w:hint="eastAsia" w:ascii="Calibri" w:hAnsi="Calibri" w:eastAsia="宋体" w:cs="Times New Roman"/>
          <w:b/>
          <w:color w:val="auto"/>
          <w:sz w:val="28"/>
          <w:szCs w:val="28"/>
          <w:highlight w:val="none"/>
        </w:rPr>
        <w:br w:type="page" w:clear="all"/>
      </w:r>
      <w:r/>
    </w:p>
    <w:p>
      <w:pPr>
        <w:pStyle w:val="822"/>
        <w:jc w:val="center"/>
        <w:keepLines w:val="0"/>
        <w:keepNext w:val="0"/>
        <w:pageBreakBefore w:val="0"/>
        <w:spacing w:before="120" w:beforeAutospacing="0" w:after="120" w:afterAutospacing="0" w:line="500" w:lineRule="exact"/>
        <w:widowControl w:val="off"/>
        <w:rPr>
          <w:color w:val="auto"/>
          <w:highlight w:val="none"/>
        </w:rPr>
      </w:pPr>
      <w:r>
        <w:rPr>
          <w:rFonts w:hint="eastAsia" w:ascii="黑体" w:hAnsi="宋体" w:eastAsia="黑体" w:cs="黑体"/>
          <w:color w:val="auto"/>
          <w:sz w:val="44"/>
          <w:szCs w:val="44"/>
          <w:highlight w:val="none"/>
        </w:rPr>
        <w:t xml:space="preserve">第</w:t>
      </w:r>
      <w:bookmarkEnd w:id="171"/>
      <w:r>
        <w:rPr>
          <w:rFonts w:hint="eastAsia" w:ascii="黑体" w:hAnsi="宋体" w:eastAsia="黑体" w:cs="黑体"/>
          <w:color w:val="auto"/>
          <w:sz w:val="44"/>
          <w:szCs w:val="44"/>
          <w:highlight w:val="none"/>
        </w:rPr>
        <w:t xml:space="preserve">四章 采购需求</w:t>
      </w:r>
      <w:bookmarkEnd w:id="172"/>
      <w:r/>
      <w:bookmarkEnd w:id="173"/>
      <w:r/>
      <w:bookmarkEnd w:id="174"/>
      <w:r/>
      <w:bookmarkEnd w:id="175"/>
      <w:r/>
      <w:bookmarkEnd w:id="176"/>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bookmarkStart w:id="179" w:name="_Toc49090575"/>
      <w:r/>
      <w:bookmarkStart w:id="180" w:name="_Toc26554093"/>
      <w:r>
        <w:rPr>
          <w:rFonts w:hint="eastAsia" w:ascii="宋体" w:hAnsi="宋体" w:eastAsia="宋体" w:cs="宋体"/>
          <w:color w:val="auto"/>
          <w:sz w:val="24"/>
          <w:szCs w:val="24"/>
          <w:highlight w:val="none"/>
        </w:rPr>
        <w:t xml:space="preserve">项目属性:服务类项目。</w:t>
      </w:r>
      <w:bookmarkEnd w:id="179"/>
      <w:r/>
      <w:bookmarkEnd w:id="180"/>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、技术要求</w:t>
      </w:r>
      <w:r/>
    </w:p>
    <w:tbl>
      <w:tblPr>
        <w:tblStyle w:val="815"/>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243"/>
        <w:gridCol w:w="4704"/>
        <w:gridCol w:w="713"/>
        <w:gridCol w:w="684"/>
      </w:tblGrid>
      <w:tr>
        <w:trPr>
          <w:trHeight w:val="556"/>
        </w:trPr>
        <w:tc>
          <w:tcPr>
            <w:tcW w:w="716" w:type="dxa"/>
            <w:vAlign w:val="center"/>
            <w:textDirection w:val="lrTb"/>
            <w:noWrap w:val="false"/>
          </w:tcPr>
          <w:p>
            <w:pPr>
              <w:ind w:hanging="2"/>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序号</w:t>
            </w:r>
            <w:r/>
          </w:p>
        </w:tc>
        <w:tc>
          <w:tcPr>
            <w:tcW w:w="2243" w:type="dxa"/>
            <w:vAlign w:val="center"/>
            <w:textDirection w:val="lrTb"/>
            <w:noWrap w:val="false"/>
          </w:tcPr>
          <w:p>
            <w:pPr>
              <w:ind w:left="420" w:hanging="420"/>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产品名称</w:t>
            </w:r>
            <w:r/>
          </w:p>
        </w:tc>
        <w:tc>
          <w:tcPr>
            <w:tcW w:w="4704" w:type="dxa"/>
            <w:vAlign w:val="center"/>
            <w:textDirection w:val="lrTb"/>
            <w:noWrap w:val="false"/>
          </w:tcPr>
          <w:p>
            <w:pPr>
              <w:ind w:left="420" w:hanging="420"/>
              <w:jc w:val="center"/>
              <w:spacing w:line="380" w:lineRule="exact"/>
              <w:widowControl w:val="off"/>
              <w:rPr>
                <w:rFonts w:hint="eastAsia" w:ascii="仿宋_GB2312" w:eastAsia="仿宋_GB2312"/>
                <w:szCs w:val="21"/>
                <w:highlight w:val="none"/>
                <w:lang w:eastAsia="zh-CN"/>
              </w:rPr>
            </w:pPr>
            <w:r>
              <w:rPr>
                <w:rFonts w:hint="eastAsia" w:ascii="仿宋_GB2312" w:eastAsia="仿宋_GB2312"/>
                <w:szCs w:val="21"/>
                <w:highlight w:val="none"/>
                <w:lang w:val="en-US" w:eastAsia="zh-CN"/>
              </w:rPr>
              <w:t xml:space="preserve">维保服务要求</w:t>
            </w:r>
            <w:r/>
          </w:p>
        </w:tc>
        <w:tc>
          <w:tcPr>
            <w:tcW w:w="713" w:type="dxa"/>
            <w:vAlign w:val="center"/>
            <w:textDirection w:val="lrTb"/>
            <w:noWrap w:val="false"/>
          </w:tcPr>
          <w:p>
            <w:pPr>
              <w:ind w:hanging="4"/>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单位</w:t>
            </w:r>
            <w:r/>
          </w:p>
        </w:tc>
        <w:tc>
          <w:tcPr>
            <w:tcW w:w="684" w:type="dxa"/>
            <w:vAlign w:val="center"/>
            <w:textDirection w:val="lrTb"/>
            <w:noWrap w:val="false"/>
          </w:tcPr>
          <w:p>
            <w:pPr>
              <w:ind w:left="420" w:hanging="420"/>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数量</w:t>
            </w:r>
            <w:r/>
          </w:p>
        </w:tc>
      </w:tr>
      <w:tr>
        <w:trPr>
          <w:trHeight w:val="556"/>
        </w:trPr>
        <w:tc>
          <w:tcPr>
            <w:tcW w:w="716" w:type="dxa"/>
            <w:vAlign w:val="center"/>
            <w:textDirection w:val="lrTb"/>
            <w:noWrap w:val="false"/>
          </w:tcPr>
          <w:p>
            <w:pPr>
              <w:ind w:hanging="2"/>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1</w:t>
            </w:r>
            <w:r/>
          </w:p>
        </w:tc>
        <w:tc>
          <w:tcPr>
            <w:tcW w:w="2243" w:type="dxa"/>
            <w:vAlign w:val="center"/>
            <w:textDirection w:val="lrTb"/>
            <w:noWrap w:val="false"/>
          </w:tcPr>
          <w:p>
            <w:pPr>
              <w:ind w:left="420" w:hanging="420"/>
              <w:jc w:val="left"/>
              <w:spacing w:line="380" w:lineRule="exact"/>
              <w:widowControl w:val="off"/>
              <w:rPr>
                <w:rFonts w:hint="eastAsia" w:ascii="仿宋_GB2312" w:eastAsia="仿宋_GB2312"/>
                <w:szCs w:val="21"/>
                <w:highlight w:val="none"/>
                <w:lang w:val="en-US" w:eastAsia="zh-CN"/>
              </w:rPr>
            </w:pPr>
            <w:r>
              <w:rPr>
                <w:rFonts w:hint="eastAsia" w:ascii="仿宋_GB2312" w:eastAsia="仿宋_GB2312"/>
                <w:szCs w:val="21"/>
                <w:highlight w:val="none"/>
                <w:lang w:val="en-US" w:eastAsia="zh-CN"/>
              </w:rPr>
              <w:t xml:space="preserve">GE REVOLUTION</w:t>
            </w:r>
            <w:r/>
          </w:p>
          <w:p>
            <w:pPr>
              <w:ind w:left="420" w:hanging="420"/>
              <w:jc w:val="left"/>
              <w:spacing w:line="380" w:lineRule="exact"/>
              <w:widowControl w:val="off"/>
              <w:rPr>
                <w:rFonts w:hint="eastAsia" w:ascii="仿宋_GB2312" w:eastAsia="仿宋_GB2312"/>
                <w:szCs w:val="21"/>
                <w:highlight w:val="none"/>
                <w:lang w:val="en-US" w:eastAsia="zh-CN"/>
              </w:rPr>
            </w:pPr>
            <w:r>
              <w:rPr>
                <w:rFonts w:hint="eastAsia" w:ascii="仿宋_GB2312" w:eastAsia="仿宋_GB2312"/>
                <w:szCs w:val="21"/>
                <w:highlight w:val="none"/>
                <w:lang w:val="en-US" w:eastAsia="zh-CN"/>
              </w:rPr>
              <w:t xml:space="preserve"> 256排及GE OPTIMA</w:t>
            </w:r>
            <w:r/>
          </w:p>
          <w:p>
            <w:pPr>
              <w:ind w:left="420" w:hanging="420"/>
              <w:jc w:val="left"/>
              <w:spacing w:line="380" w:lineRule="exact"/>
              <w:widowControl w:val="off"/>
              <w:rPr>
                <w:rFonts w:hint="default" w:ascii="仿宋_GB2312" w:eastAsia="仿宋_GB2312"/>
                <w:szCs w:val="21"/>
                <w:highlight w:val="none"/>
                <w:lang w:val="en-US"/>
              </w:rPr>
            </w:pPr>
            <w:r>
              <w:rPr>
                <w:rFonts w:hint="eastAsia" w:ascii="仿宋_GB2312" w:eastAsia="仿宋_GB2312"/>
                <w:szCs w:val="21"/>
                <w:highlight w:val="none"/>
                <w:lang w:val="en-US" w:eastAsia="zh-CN"/>
              </w:rPr>
              <w:t xml:space="preserve"> CT680 64排CT维保服务</w:t>
            </w:r>
            <w:r/>
          </w:p>
        </w:tc>
        <w:tc>
          <w:tcPr>
            <w:tcW w:w="4704" w:type="dxa"/>
            <w:vAlign w:val="center"/>
            <w:textDirection w:val="lrTb"/>
            <w:noWrap w:val="false"/>
          </w:tcPr>
          <w:p>
            <w:pPr>
              <w:numPr>
                <w:ilvl w:val="0"/>
                <w:numId w:val="0"/>
              </w:numPr>
              <w:jc w:val="left"/>
              <w:spacing w:line="380" w:lineRule="exact"/>
              <w:widowControl w:val="off"/>
              <w:rPr>
                <w:rFonts w:hint="eastAsia" w:ascii="仿宋" w:hAnsi="仿宋" w:eastAsia="仿宋"/>
                <w:szCs w:val="21"/>
                <w:highlight w:val="none"/>
              </w:rPr>
            </w:pPr>
            <w:r>
              <w:rPr>
                <w:rFonts w:hint="eastAsia" w:ascii="仿宋" w:hAnsi="仿宋" w:eastAsia="仿宋" w:cs="Times New Roman"/>
                <w:sz w:val="21"/>
                <w:szCs w:val="21"/>
                <w:highlight w:val="none"/>
                <w:lang w:val="en-US" w:eastAsia="zh-CN" w:bidi="ar-SA"/>
              </w:rPr>
              <w:t xml:space="preserve">1.</w:t>
            </w:r>
            <w:r>
              <w:rPr>
                <w:rFonts w:ascii="仿宋" w:hAnsi="仿宋" w:eastAsia="仿宋"/>
                <w:szCs w:val="21"/>
                <w:highlight w:val="none"/>
              </w:rPr>
              <w:t xml:space="preserve">保修范围要求</w:t>
            </w:r>
            <w:r>
              <w:rPr>
                <w:rFonts w:hint="eastAsia" w:ascii="仿宋" w:hAnsi="仿宋" w:eastAsia="仿宋"/>
                <w:szCs w:val="21"/>
                <w:highlight w:val="none"/>
              </w:rPr>
              <w:t xml:space="preserve">：</w:t>
            </w:r>
            <w:r/>
          </w:p>
          <w:p>
            <w:pPr>
              <w:numPr>
                <w:ilvl w:val="0"/>
                <w:numId w:val="0"/>
              </w:numPr>
              <w:ind w:left="420" w:firstLine="0"/>
              <w:jc w:val="left"/>
              <w:spacing w:line="380" w:lineRule="exact"/>
              <w:widowControl w:val="off"/>
              <w:rPr>
                <w:rFonts w:hint="eastAsia" w:ascii="仿宋" w:hAnsi="仿宋" w:eastAsia="仿宋"/>
                <w:szCs w:val="21"/>
                <w:highlight w:val="none"/>
              </w:rPr>
            </w:pPr>
            <w:r>
              <w:rPr>
                <w:rFonts w:hint="eastAsia" w:ascii="仿宋" w:hAnsi="仿宋" w:eastAsia="仿宋"/>
                <w:szCs w:val="21"/>
                <w:highlight w:val="none"/>
                <w:lang w:val="en-US" w:eastAsia="zh-CN"/>
              </w:rPr>
              <w:t xml:space="preserve">GE REVOLUTION 256排及GE OPTIMA CT680 64排CT</w:t>
            </w:r>
            <w:r>
              <w:rPr>
                <w:rFonts w:hint="eastAsia" w:ascii="仿宋" w:hAnsi="仿宋" w:eastAsia="仿宋"/>
                <w:szCs w:val="21"/>
                <w:highlight w:val="none"/>
              </w:rPr>
              <w:t xml:space="preserve">包含服务内容：包括</w:t>
            </w:r>
            <w:r>
              <w:rPr>
                <w:rFonts w:hint="eastAsia" w:ascii="仿宋" w:hAnsi="仿宋" w:eastAsia="仿宋"/>
                <w:szCs w:val="21"/>
                <w:highlight w:val="none"/>
                <w:lang w:val="en-US" w:eastAsia="zh-CN"/>
              </w:rPr>
              <w:t xml:space="preserve">但不限于</w:t>
            </w:r>
            <w:r>
              <w:rPr>
                <w:rFonts w:hint="eastAsia" w:ascii="仿宋" w:hAnsi="仿宋" w:eastAsia="仿宋"/>
                <w:szCs w:val="21"/>
                <w:highlight w:val="none"/>
              </w:rPr>
              <w:t xml:space="preserve">工时、安全检查、质量保证、安全升级、24小时x 365天热线支持、远程诊断服务、预防性保养（含预防性保养耗材）、所有常规备件、高压</w:t>
            </w:r>
            <w:r>
              <w:rPr>
                <w:rFonts w:hint="eastAsia" w:ascii="仿宋" w:hAnsi="仿宋" w:eastAsia="仿宋"/>
                <w:szCs w:val="21"/>
                <w:highlight w:val="none"/>
                <w:lang w:val="en-US" w:eastAsia="zh-CN"/>
              </w:rPr>
              <w:t xml:space="preserve">发生器</w:t>
            </w:r>
            <w:r>
              <w:rPr>
                <w:rFonts w:hint="eastAsia" w:ascii="仿宋" w:hAnsi="仿宋" w:eastAsia="仿宋"/>
                <w:szCs w:val="21"/>
                <w:highlight w:val="none"/>
              </w:rPr>
              <w:t xml:space="preserve">、探测器、球管、</w:t>
            </w:r>
            <w:r>
              <w:rPr>
                <w:rFonts w:hint="eastAsia" w:ascii="仿宋" w:hAnsi="仿宋" w:eastAsia="仿宋"/>
                <w:szCs w:val="21"/>
                <w:highlight w:val="none"/>
                <w:lang w:val="en-US" w:eastAsia="zh-CN"/>
              </w:rPr>
              <w:t xml:space="preserve">系统柜等</w:t>
            </w:r>
            <w:r>
              <w:rPr>
                <w:rFonts w:hint="eastAsia" w:ascii="仿宋" w:hAnsi="仿宋" w:eastAsia="仿宋"/>
                <w:szCs w:val="21"/>
                <w:highlight w:val="none"/>
              </w:rPr>
              <w:t xml:space="preserve">；服务不包含内容：再安装及所需的备品备件、其他厂家之产品及服务；</w:t>
            </w:r>
            <w:r/>
          </w:p>
          <w:p>
            <w:pPr>
              <w:ind w:left="420" w:hanging="420"/>
              <w:jc w:val="left"/>
              <w:spacing w:line="380" w:lineRule="exact"/>
              <w:widowControl w:val="off"/>
              <w:rPr>
                <w:rFonts w:ascii="仿宋" w:hAnsi="仿宋" w:eastAsia="仿宋"/>
                <w:szCs w:val="21"/>
                <w:highlight w:val="none"/>
              </w:rPr>
            </w:pPr>
            <w:r>
              <w:rPr>
                <w:rFonts w:hint="eastAsia" w:ascii="仿宋" w:hAnsi="仿宋" w:eastAsia="仿宋"/>
                <w:szCs w:val="21"/>
                <w:highlight w:val="none"/>
              </w:rPr>
              <w:t xml:space="preserve">2.</w:t>
            </w:r>
            <w:r>
              <w:rPr>
                <w:rFonts w:ascii="仿宋" w:hAnsi="仿宋" w:eastAsia="仿宋"/>
                <w:szCs w:val="21"/>
                <w:highlight w:val="none"/>
              </w:rPr>
              <w:t xml:space="preserve">保修</w:t>
            </w:r>
            <w:r>
              <w:rPr>
                <w:rFonts w:hint="eastAsia" w:ascii="仿宋" w:hAnsi="仿宋" w:eastAsia="仿宋"/>
                <w:szCs w:val="21"/>
                <w:highlight w:val="none"/>
                <w:lang w:val="en-US" w:eastAsia="zh-CN"/>
              </w:rPr>
              <w:t xml:space="preserve">服务</w:t>
            </w:r>
            <w:r>
              <w:rPr>
                <w:rFonts w:ascii="仿宋" w:hAnsi="仿宋" w:eastAsia="仿宋"/>
                <w:szCs w:val="21"/>
                <w:highlight w:val="none"/>
              </w:rPr>
              <w:t xml:space="preserve">期限</w:t>
            </w:r>
            <w:r>
              <w:rPr>
                <w:rFonts w:hint="eastAsia" w:ascii="仿宋" w:hAnsi="仿宋" w:eastAsia="仿宋"/>
                <w:szCs w:val="21"/>
                <w:highlight w:val="none"/>
              </w:rPr>
              <w:t xml:space="preserve">：</w:t>
            </w:r>
            <w:r>
              <w:rPr>
                <w:rFonts w:hint="eastAsia" w:ascii="仿宋" w:hAnsi="仿宋" w:eastAsia="仿宋"/>
                <w:szCs w:val="21"/>
                <w:highlight w:val="none"/>
                <w:lang w:val="en-US" w:eastAsia="zh-CN"/>
              </w:rPr>
              <w:t xml:space="preserve">2</w:t>
            </w:r>
            <w:r>
              <w:rPr>
                <w:rFonts w:hint="eastAsia" w:ascii="仿宋" w:hAnsi="仿宋" w:eastAsia="仿宋"/>
                <w:szCs w:val="21"/>
                <w:highlight w:val="none"/>
              </w:rPr>
              <w:t xml:space="preserve">年</w:t>
            </w:r>
            <w:r/>
          </w:p>
          <w:p>
            <w:pPr>
              <w:ind w:left="420" w:hanging="420"/>
              <w:jc w:val="left"/>
              <w:spacing w:line="380" w:lineRule="exact"/>
              <w:widowControl w:val="off"/>
              <w:rPr>
                <w:rFonts w:hint="eastAsia" w:ascii="仿宋" w:hAnsi="仿宋" w:eastAsia="仿宋"/>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olor w:val="auto"/>
                <w:szCs w:val="21"/>
                <w:highlight w:val="none"/>
              </w:rPr>
              <w:t xml:space="preserve">3.</w:t>
            </w:r>
            <w:r>
              <w:rPr>
                <w:rFonts w:ascii="仿宋" w:hAnsi="仿宋" w:eastAsia="仿宋"/>
                <w:szCs w:val="21"/>
                <w:highlight w:val="none"/>
              </w:rPr>
              <w:t xml:space="preserve">开机率保证</w:t>
            </w:r>
            <w:r>
              <w:rPr>
                <w:rFonts w:hint="eastAsia" w:ascii="仿宋" w:hAnsi="仿宋" w:eastAsia="仿宋"/>
                <w:szCs w:val="21"/>
                <w:highlight w:val="none"/>
              </w:rPr>
              <w:t xml:space="preserve">：</w:t>
            </w:r>
            <w:r>
              <w:rPr>
                <w:rFonts w:hint="eastAsia" w:ascii="仿宋" w:hAnsi="仿宋" w:eastAsia="仿宋" w:cs="Times New Roman"/>
                <w:szCs w:val="21"/>
                <w:highlight w:val="none"/>
              </w:rPr>
              <w:t xml:space="preserve">开机率≥97%，按全年 365 天计</w:t>
            </w:r>
            <w:r>
              <w:rPr>
                <w:rFonts w:hint="eastAsia" w:ascii="仿宋" w:hAnsi="仿宋" w:eastAsia="仿宋" w:cs="Times New Roman"/>
                <w:szCs w:val="21"/>
                <w:highlight w:val="none"/>
                <w:lang w:eastAsia="zh-CN"/>
              </w:rPr>
              <w:t xml:space="preserve">，</w:t>
            </w:r>
            <w:r>
              <w:rPr>
                <w:rFonts w:hint="eastAsia" w:ascii="仿宋" w:hAnsi="仿宋" w:eastAsia="仿宋" w:cs="Times New Roman"/>
                <w:szCs w:val="21"/>
                <w:highlight w:val="none"/>
              </w:rPr>
              <w:t xml:space="preserve">每年设备的停机时间不得超过1</w:t>
            </w:r>
            <w:r>
              <w:rPr>
                <w:rFonts w:hint="eastAsia" w:ascii="仿宋" w:hAnsi="仿宋" w:eastAsia="仿宋" w:cs="Times New Roman"/>
                <w:szCs w:val="21"/>
                <w:highlight w:val="none"/>
                <w:lang w:val="en-US" w:eastAsia="zh-CN"/>
              </w:rPr>
              <w:t xml:space="preserve">1</w:t>
            </w:r>
            <w:r>
              <w:rPr>
                <w:rFonts w:hint="eastAsia" w:ascii="仿宋" w:hAnsi="仿宋" w:eastAsia="仿宋" w:cs="Times New Roman"/>
                <w:szCs w:val="21"/>
                <w:highlight w:val="none"/>
              </w:rPr>
              <w:t xml:space="preserve">天，每超过1天维保顺延1周</w:t>
            </w:r>
            <w:r>
              <w:rPr>
                <w:rFonts w:hint="eastAsia" w:ascii="仿宋" w:hAnsi="仿宋" w:eastAsia="仿宋" w:cs="Times New Roman"/>
                <w:szCs w:val="21"/>
                <w:highlight w:val="none"/>
                <w:lang w:eastAsia="zh-CN"/>
              </w:rPr>
              <w:t xml:space="preserve">。</w:t>
            </w:r>
            <w:r/>
          </w:p>
          <w:p>
            <w:pPr>
              <w:ind w:left="420" w:hanging="420"/>
              <w:jc w:val="left"/>
              <w:spacing w:line="380" w:lineRule="exact"/>
              <w:widowControl w:val="off"/>
              <w:rPr>
                <w:rFonts w:hint="eastAsia" w:ascii="仿宋" w:hAnsi="仿宋" w:eastAsia="仿宋"/>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Times New Roman"/>
                <w:szCs w:val="21"/>
                <w:highlight w:val="none"/>
                <w:lang w:val="en-US" w:eastAsia="zh-CN"/>
              </w:rPr>
              <w:t xml:space="preserve">4. </w:t>
            </w:r>
            <w:r>
              <w:rPr>
                <w:rFonts w:hint="eastAsia" w:ascii="仿宋" w:hAnsi="仿宋" w:eastAsia="仿宋"/>
                <w:szCs w:val="21"/>
                <w:highlight w:val="none"/>
              </w:rPr>
              <w:t xml:space="preserve">维修更换的零配件均要求为原厂检测合格的或未拆封的全新配件。维保服务更换备件需提供</w:t>
            </w:r>
            <w:r>
              <w:rPr>
                <w:rFonts w:hint="eastAsia" w:ascii="仿宋" w:hAnsi="仿宋" w:eastAsia="仿宋"/>
                <w:szCs w:val="21"/>
                <w:highlight w:val="none"/>
                <w:lang w:val="en-US" w:eastAsia="zh-CN"/>
              </w:rPr>
              <w:t xml:space="preserve">原厂</w:t>
            </w:r>
            <w:r>
              <w:rPr>
                <w:rFonts w:hint="eastAsia" w:ascii="仿宋" w:hAnsi="仿宋" w:eastAsia="仿宋"/>
                <w:szCs w:val="21"/>
                <w:highlight w:val="none"/>
              </w:rPr>
              <w:t xml:space="preserve">出厂证明</w:t>
            </w:r>
            <w:r>
              <w:rPr>
                <w:rFonts w:hint="eastAsia" w:ascii="仿宋" w:hAnsi="仿宋" w:eastAsia="仿宋"/>
                <w:szCs w:val="21"/>
                <w:highlight w:val="none"/>
                <w:lang w:val="en-US" w:eastAsia="zh-CN"/>
              </w:rPr>
              <w:t xml:space="preserve">等资料，</w:t>
            </w:r>
            <w:r>
              <w:rPr>
                <w:rFonts w:hint="eastAsia" w:ascii="仿宋" w:hAnsi="仿宋" w:eastAsia="仿宋"/>
                <w:szCs w:val="21"/>
                <w:highlight w:val="none"/>
              </w:rPr>
              <w:t xml:space="preserve">同时配件具有制造商完整标识。（投标文件中提供承诺书并加盖投标人公章，格式自拟）。</w:t>
            </w:r>
            <w:r/>
          </w:p>
          <w:p>
            <w:pPr>
              <w:ind w:left="420" w:hanging="420"/>
              <w:jc w:val="left"/>
              <w:spacing w:line="380" w:lineRule="exact"/>
              <w:widowControl w:val="off"/>
              <w:rPr>
                <w:rFonts w:hint="eastAsia" w:ascii="仿宋" w:hAnsi="仿宋" w:eastAsia="仿宋" w:cs="Times New Roman"/>
                <w:szCs w:val="21"/>
                <w:highlight w:val="none"/>
              </w:rPr>
            </w:pPr>
            <w:r>
              <w:rPr>
                <w:rFonts w:hint="eastAsia" w:ascii="仿宋" w:hAnsi="仿宋" w:eastAsia="仿宋"/>
                <w:color w:val="auto"/>
                <w:szCs w:val="21"/>
                <w:highlight w:val="none"/>
              </w:rPr>
              <w:t xml:space="preserve">5.</w:t>
            </w:r>
            <w:r>
              <w:rPr>
                <w:rFonts w:ascii="仿宋" w:hAnsi="仿宋" w:eastAsia="仿宋"/>
                <w:color w:val="auto"/>
                <w:szCs w:val="21"/>
                <w:highlight w:val="none"/>
              </w:rPr>
              <w:t xml:space="preserve">响应时间</w:t>
            </w:r>
            <w:r>
              <w:rPr>
                <w:rFonts w:hint="eastAsia" w:ascii="仿宋" w:hAnsi="仿宋" w:eastAsia="仿宋"/>
                <w:color w:val="auto"/>
                <w:szCs w:val="21"/>
                <w:highlight w:val="none"/>
              </w:rPr>
              <w:t xml:space="preserve">：</w:t>
            </w:r>
            <w:r>
              <w:rPr>
                <w:rFonts w:hint="eastAsia" w:ascii="仿宋" w:hAnsi="仿宋" w:eastAsia="仿宋" w:cs="Times New Roman"/>
                <w:color w:val="auto"/>
                <w:szCs w:val="21"/>
                <w:highlight w:val="none"/>
              </w:rPr>
              <w:t xml:space="preserve">故障报修后</w:t>
            </w:r>
            <w:r>
              <w:rPr>
                <w:rFonts w:hint="eastAsia" w:ascii="仿宋" w:hAnsi="仿宋" w:eastAsia="仿宋" w:cs="Times New Roman"/>
                <w:color w:val="auto"/>
                <w:szCs w:val="21"/>
                <w:highlight w:val="none"/>
                <w:lang w:val="en-US" w:eastAsia="zh-CN"/>
              </w:rPr>
              <w:t xml:space="preserve">1</w:t>
            </w:r>
            <w:r>
              <w:rPr>
                <w:rFonts w:hint="eastAsia" w:ascii="仿宋" w:hAnsi="仿宋" w:eastAsia="仿宋" w:cs="Times New Roman"/>
                <w:color w:val="auto"/>
                <w:szCs w:val="21"/>
                <w:highlight w:val="none"/>
              </w:rPr>
              <w:t xml:space="preserve">小时内电话响应，24小时内工程师须赶到现场进行维修</w:t>
            </w:r>
            <w:r>
              <w:rPr>
                <w:rFonts w:hint="eastAsia" w:ascii="仿宋" w:hAnsi="仿宋" w:eastAsia="仿宋" w:cs="Times New Roman"/>
                <w:szCs w:val="21"/>
                <w:highlight w:val="none"/>
              </w:rPr>
              <w:t xml:space="preserve">。</w:t>
            </w:r>
            <w:r/>
          </w:p>
          <w:p>
            <w:pPr>
              <w:ind w:left="420" w:hanging="420"/>
              <w:jc w:val="left"/>
              <w:spacing w:line="380" w:lineRule="exact"/>
              <w:widowControl w:val="off"/>
              <w:rPr>
                <w:rFonts w:hint="eastAsia" w:ascii="仿宋" w:hAnsi="仿宋" w:eastAsia="仿宋"/>
                <w:spacing w:val="-9"/>
                <w:szCs w:val="21"/>
                <w:highlight w:val="none"/>
              </w:rPr>
            </w:pPr>
            <w:r>
              <w:rPr>
                <w:rFonts w:hint="eastAsia" w:ascii="仿宋" w:hAnsi="仿宋" w:eastAsia="仿宋"/>
                <w:szCs w:val="21"/>
                <w:highlight w:val="none"/>
              </w:rPr>
              <w:t xml:space="preserve">6.</w:t>
            </w:r>
            <w:r>
              <w:rPr>
                <w:rFonts w:hint="eastAsia" w:ascii="仿宋" w:hAnsi="仿宋" w:eastAsia="仿宋" w:cs="Times New Roman"/>
                <w:szCs w:val="21"/>
                <w:highlight w:val="none"/>
              </w:rPr>
              <w:t xml:space="preserve">安全升级、安全检查、质量保证：提供原厂标准的安全升级、安全检查、质量保证并合同期内提供厂家软件版本升级</w:t>
            </w:r>
            <w:r>
              <w:rPr>
                <w:rFonts w:hint="eastAsia" w:ascii="仿宋" w:hAnsi="仿宋" w:eastAsia="仿宋" w:cs="Times New Roman"/>
                <w:szCs w:val="21"/>
                <w:highlight w:val="none"/>
                <w:lang w:eastAsia="zh-CN"/>
              </w:rPr>
              <w:t xml:space="preserve">，</w:t>
            </w:r>
            <w:r>
              <w:rPr>
                <w:rFonts w:ascii="仿宋" w:hAnsi="仿宋" w:eastAsia="仿宋"/>
                <w:spacing w:val="-9"/>
                <w:szCs w:val="21"/>
                <w:highlight w:val="none"/>
              </w:rPr>
              <w:t xml:space="preserve">保证设备系统为最新软</w:t>
            </w:r>
            <w:r>
              <w:rPr>
                <w:rFonts w:ascii="仿宋" w:hAnsi="仿宋" w:eastAsia="仿宋"/>
                <w:szCs w:val="21"/>
                <w:highlight w:val="none"/>
              </w:rPr>
              <w:t xml:space="preserve">件版本</w:t>
            </w:r>
            <w:r>
              <w:rPr>
                <w:rFonts w:hint="eastAsia" w:ascii="仿宋" w:hAnsi="仿宋" w:eastAsia="仿宋"/>
                <w:szCs w:val="21"/>
                <w:highlight w:val="none"/>
              </w:rPr>
              <w:t xml:space="preserve">，并</w:t>
            </w:r>
            <w:r>
              <w:rPr>
                <w:rFonts w:hint="eastAsia" w:ascii="仿宋" w:hAnsi="仿宋" w:eastAsia="仿宋"/>
                <w:spacing w:val="-9"/>
                <w:szCs w:val="21"/>
                <w:highlight w:val="none"/>
              </w:rPr>
              <w:t xml:space="preserve">提供制造商发布的系统软件获取渠道合法性证明。</w:t>
            </w:r>
            <w:r/>
          </w:p>
          <w:p>
            <w:pPr>
              <w:ind w:left="420" w:hanging="420"/>
              <w:jc w:val="left"/>
              <w:spacing w:line="380" w:lineRule="exact"/>
              <w:widowControl w:val="off"/>
              <w:rPr>
                <w:rFonts w:ascii="仿宋" w:hAnsi="仿宋" w:eastAsia="仿宋"/>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szCs w:val="21"/>
                <w:highlight w:val="none"/>
              </w:rPr>
              <w:t xml:space="preserve">7.</w:t>
            </w:r>
            <w:r>
              <w:rPr>
                <w:rFonts w:hint="eastAsia" w:ascii="仿宋" w:hAnsi="仿宋" w:eastAsia="仿宋" w:cs="Times New Roman"/>
                <w:szCs w:val="21"/>
                <w:highlight w:val="none"/>
              </w:rPr>
              <w:t xml:space="preserve">维护保养：全保期间中标人应按规范实施对设备的常规保养，每年至少提供4次专业保养（2次大保养，2次小保养），需满足江苏省医疗器械质控标准，且每次进行维保工作均应出具正规维保工作报告并由双方相关人员签字确认</w:t>
            </w:r>
            <w:r>
              <w:rPr>
                <w:rFonts w:ascii="仿宋" w:hAnsi="仿宋" w:eastAsia="仿宋"/>
                <w:szCs w:val="21"/>
                <w:highlight w:val="none"/>
              </w:rPr>
              <w:t xml:space="preserve">。</w:t>
            </w:r>
            <w:r/>
          </w:p>
          <w:p>
            <w:pPr>
              <w:ind w:left="420" w:hanging="420"/>
              <w:jc w:val="left"/>
              <w:spacing w:line="380" w:lineRule="exact"/>
              <w:widowControl w:val="off"/>
              <w:rPr>
                <w:rFonts w:hint="eastAsia" w:ascii="仿宋" w:hAnsi="仿宋" w:eastAsia="仿宋" w:cs="Times New Roman"/>
                <w:spacing w:val="-11"/>
                <w:szCs w:val="21"/>
                <w:highlight w:val="none"/>
                <w:lang w:eastAsia="zh-CN"/>
              </w:rPr>
            </w:pPr>
            <w:r>
              <w:rPr>
                <w:rFonts w:hint="eastAsia" w:ascii="仿宋" w:hAnsi="仿宋" w:eastAsia="仿宋"/>
                <w:szCs w:val="21"/>
                <w:highlight w:val="none"/>
              </w:rPr>
              <w:t xml:space="preserve">8.</w:t>
            </w:r>
            <w:r>
              <w:rPr>
                <w:rFonts w:ascii="仿宋" w:hAnsi="仿宋" w:eastAsia="仿宋"/>
                <w:szCs w:val="21"/>
                <w:highlight w:val="none"/>
              </w:rPr>
              <w:t xml:space="preserve">报修热线</w:t>
            </w:r>
            <w:r>
              <w:rPr>
                <w:rFonts w:hint="eastAsia" w:ascii="仿宋" w:hAnsi="仿宋" w:eastAsia="仿宋"/>
                <w:szCs w:val="21"/>
                <w:highlight w:val="none"/>
              </w:rPr>
              <w:t xml:space="preserve">：</w:t>
            </w:r>
            <w:r>
              <w:rPr>
                <w:rFonts w:ascii="仿宋" w:hAnsi="仿宋" w:eastAsia="仿宋"/>
                <w:spacing w:val="-18"/>
                <w:szCs w:val="21"/>
                <w:highlight w:val="none"/>
              </w:rPr>
              <w:t xml:space="preserve">具备 </w:t>
            </w:r>
            <w:r>
              <w:rPr>
                <w:rFonts w:ascii="仿宋" w:hAnsi="仿宋" w:eastAsia="仿宋"/>
                <w:szCs w:val="21"/>
                <w:highlight w:val="none"/>
              </w:rPr>
              <w:t xml:space="preserve">800/400</w:t>
            </w:r>
            <w:r>
              <w:rPr>
                <w:rFonts w:ascii="仿宋" w:hAnsi="仿宋" w:eastAsia="仿宋"/>
                <w:spacing w:val="-11"/>
                <w:szCs w:val="21"/>
                <w:highlight w:val="none"/>
              </w:rPr>
              <w:t xml:space="preserve"> 报修热线，并提供</w:t>
            </w:r>
            <w:r>
              <w:rPr>
                <w:rFonts w:hint="eastAsia" w:ascii="仿宋" w:hAnsi="仿宋" w:eastAsia="仿宋"/>
                <w:spacing w:val="-11"/>
                <w:szCs w:val="21"/>
                <w:highlight w:val="none"/>
                <w:lang w:val="en-US" w:eastAsia="zh-CN"/>
              </w:rPr>
              <w:t xml:space="preserve">24小时*365天</w:t>
            </w:r>
            <w:r>
              <w:rPr>
                <w:rFonts w:ascii="仿宋" w:hAnsi="仿宋" w:eastAsia="仿宋"/>
                <w:spacing w:val="-11"/>
                <w:szCs w:val="21"/>
                <w:highlight w:val="none"/>
              </w:rPr>
              <w:t xml:space="preserve">热线支持，</w:t>
            </w:r>
            <w:r>
              <w:rPr>
                <w:rFonts w:ascii="仿宋" w:hAnsi="仿宋" w:eastAsia="仿宋"/>
                <w:spacing w:val="3"/>
                <w:szCs w:val="21"/>
                <w:highlight w:val="none"/>
              </w:rPr>
              <w:t xml:space="preserve">有临床应用专家和维修专家</w:t>
            </w:r>
            <w:r>
              <w:rPr>
                <w:rFonts w:hint="eastAsia" w:ascii="仿宋" w:hAnsi="仿宋" w:eastAsia="仿宋" w:cs="Times New Roman"/>
                <w:spacing w:val="-11"/>
                <w:szCs w:val="21"/>
                <w:highlight w:val="none"/>
                <w:lang w:val="en-US" w:eastAsia="zh-CN"/>
              </w:rPr>
              <w:t xml:space="preserve">提供</w:t>
            </w:r>
            <w:r>
              <w:rPr>
                <w:rFonts w:ascii="仿宋" w:hAnsi="仿宋" w:eastAsia="仿宋" w:cs="Times New Roman"/>
                <w:spacing w:val="-11"/>
                <w:szCs w:val="21"/>
                <w:highlight w:val="none"/>
              </w:rPr>
              <w:t xml:space="preserve">实时</w:t>
            </w:r>
            <w:r>
              <w:rPr>
                <w:rFonts w:hint="eastAsia" w:ascii="仿宋" w:hAnsi="仿宋" w:eastAsia="仿宋" w:cs="Times New Roman"/>
                <w:spacing w:val="-11"/>
                <w:szCs w:val="21"/>
                <w:highlight w:val="none"/>
              </w:rPr>
              <w:t xml:space="preserve">快速诊断和技术支持服务</w:t>
            </w:r>
            <w:r>
              <w:rPr>
                <w:rFonts w:ascii="仿宋" w:hAnsi="仿宋" w:eastAsia="仿宋" w:cs="Times New Roman"/>
                <w:spacing w:val="-11"/>
                <w:szCs w:val="21"/>
                <w:highlight w:val="none"/>
              </w:rPr>
              <w:t xml:space="preserve">；远程服务系统</w:t>
            </w:r>
            <w:r>
              <w:rPr>
                <w:rFonts w:hint="eastAsia" w:ascii="仿宋" w:hAnsi="仿宋" w:eastAsia="仿宋" w:cs="Times New Roman"/>
                <w:spacing w:val="-11"/>
                <w:szCs w:val="21"/>
                <w:highlight w:val="none"/>
                <w:lang w:eastAsia="zh-CN"/>
              </w:rPr>
              <w:t xml:space="preserve">在</w:t>
            </w:r>
            <w:r>
              <w:rPr>
                <w:rFonts w:hint="eastAsia" w:ascii="仿宋" w:hAnsi="仿宋" w:eastAsia="仿宋" w:cs="Times New Roman"/>
                <w:spacing w:val="-11"/>
                <w:szCs w:val="21"/>
                <w:highlight w:val="none"/>
                <w:lang w:val="en-US" w:eastAsia="zh-CN"/>
              </w:rPr>
              <w:t xml:space="preserve">采购人允许情况下</w:t>
            </w:r>
            <w:r>
              <w:rPr>
                <w:rFonts w:ascii="仿宋" w:hAnsi="仿宋" w:eastAsia="仿宋" w:cs="Times New Roman"/>
                <w:spacing w:val="-11"/>
                <w:szCs w:val="21"/>
                <w:highlight w:val="none"/>
              </w:rPr>
              <w:t xml:space="preserve">依托互联网进行远程软件升级，远程诊断、远程紧急故障处理</w:t>
            </w:r>
            <w:r>
              <w:rPr>
                <w:rFonts w:hint="eastAsia" w:ascii="仿宋" w:hAnsi="仿宋" w:eastAsia="仿宋" w:cs="Times New Roman"/>
                <w:spacing w:val="-11"/>
                <w:szCs w:val="21"/>
                <w:highlight w:val="none"/>
                <w:lang w:eastAsia="zh-CN"/>
              </w:rPr>
              <w:t xml:space="preserve">。</w:t>
            </w:r>
            <w:r>
              <w:rPr>
                <w:rFonts w:ascii="仿宋" w:hAnsi="仿宋" w:eastAsia="仿宋" w:cs="Times New Roman"/>
                <w:spacing w:val="-11"/>
                <w:szCs w:val="21"/>
                <w:highlight w:val="none"/>
              </w:rPr>
              <w:t xml:space="preserve">（需提供可验证的实时在线服务平台和相应的证明文件</w:t>
            </w:r>
            <w:r>
              <w:rPr>
                <w:rFonts w:hint="eastAsia" w:ascii="仿宋" w:hAnsi="仿宋" w:eastAsia="仿宋" w:cs="Times New Roman"/>
                <w:spacing w:val="-11"/>
                <w:szCs w:val="21"/>
                <w:highlight w:val="none"/>
                <w:lang w:eastAsia="zh-CN"/>
              </w:rPr>
              <w:t xml:space="preserve">，</w:t>
            </w:r>
            <w:r>
              <w:rPr>
                <w:rFonts w:ascii="仿宋" w:hAnsi="仿宋" w:eastAsia="仿宋" w:cs="Times New Roman"/>
                <w:spacing w:val="-11"/>
                <w:szCs w:val="21"/>
                <w:highlight w:val="none"/>
              </w:rPr>
              <w:t xml:space="preserve">如投标人为设备制造商本次维保设备的授权经销商，也可提供设备制造商</w:t>
            </w:r>
            <w:r>
              <w:rPr>
                <w:rFonts w:hint="eastAsia" w:ascii="仿宋" w:hAnsi="仿宋" w:eastAsia="仿宋" w:cs="Times New Roman"/>
                <w:spacing w:val="-11"/>
                <w:szCs w:val="21"/>
                <w:highlight w:val="none"/>
                <w:lang w:val="en-US" w:eastAsia="zh-CN"/>
              </w:rPr>
              <w:t xml:space="preserve">相应资料</w:t>
            </w:r>
            <w:r>
              <w:rPr>
                <w:rFonts w:ascii="仿宋" w:hAnsi="仿宋" w:eastAsia="仿宋" w:cs="Times New Roman"/>
                <w:spacing w:val="-11"/>
                <w:szCs w:val="21"/>
                <w:highlight w:val="none"/>
              </w:rPr>
              <w:t xml:space="preserve">）</w:t>
            </w:r>
            <w:r/>
          </w:p>
          <w:p>
            <w:pPr>
              <w:ind w:left="420" w:hanging="420"/>
              <w:jc w:val="left"/>
              <w:spacing w:line="380" w:lineRule="exact"/>
              <w:widowControl w:val="off"/>
              <w:rPr>
                <w:rFonts w:hint="default" w:ascii="仿宋" w:hAnsi="仿宋" w:eastAsia="仿宋" w:cs="Times New Roman"/>
                <w:szCs w:val="21"/>
                <w:highlight w:val="none"/>
                <w:lang w:val="en-US" w:eastAsia="zh-CN"/>
              </w:rPr>
            </w:pPr>
            <w:r>
              <w:rPr>
                <w:rFonts w:hint="eastAsia" w:ascii="仿宋" w:hAnsi="仿宋" w:eastAsia="仿宋" w:cs="Times New Roman"/>
                <w:spacing w:val="-11"/>
                <w:szCs w:val="21"/>
                <w:highlight w:val="none"/>
                <w:lang w:val="en-US" w:eastAsia="zh-CN"/>
              </w:rPr>
              <w:t xml:space="preserve">9.投标人</w:t>
            </w:r>
            <w:r>
              <w:rPr>
                <w:rFonts w:hint="eastAsia" w:ascii="仿宋" w:hAnsi="仿宋" w:eastAsia="仿宋" w:cs="Times New Roman"/>
                <w:spacing w:val="-11"/>
                <w:szCs w:val="21"/>
                <w:highlight w:val="none"/>
              </w:rPr>
              <w:t xml:space="preserve">国内需至少有1家面积不低于</w:t>
            </w:r>
            <w:r>
              <w:rPr>
                <w:rFonts w:hint="eastAsia" w:ascii="仿宋" w:hAnsi="仿宋" w:eastAsia="仿宋" w:cs="Times New Roman"/>
                <w:spacing w:val="-11"/>
                <w:szCs w:val="21"/>
                <w:highlight w:val="none"/>
                <w:lang w:val="en-US" w:eastAsia="zh-CN"/>
              </w:rPr>
              <w:t xml:space="preserve">10</w:t>
            </w:r>
            <w:r>
              <w:rPr>
                <w:rFonts w:hint="eastAsia" w:ascii="仿宋" w:hAnsi="仿宋" w:eastAsia="仿宋" w:cs="Times New Roman"/>
                <w:spacing w:val="-11"/>
                <w:szCs w:val="21"/>
                <w:highlight w:val="none"/>
              </w:rPr>
              <w:t xml:space="preserve">0平米的备件库以保证备件的及时供应，提供仓库证明</w:t>
            </w:r>
            <w:r>
              <w:rPr>
                <w:rFonts w:hint="eastAsia" w:ascii="仿宋" w:hAnsi="仿宋" w:eastAsia="仿宋" w:cs="Times New Roman"/>
                <w:spacing w:val="-11"/>
                <w:szCs w:val="21"/>
                <w:highlight w:val="none"/>
                <w:lang w:val="en-US" w:eastAsia="zh-CN"/>
              </w:rPr>
              <w:t xml:space="preserve">或</w:t>
            </w:r>
            <w:r>
              <w:rPr>
                <w:rFonts w:hint="eastAsia" w:ascii="仿宋" w:hAnsi="仿宋" w:eastAsia="仿宋" w:cs="Times New Roman"/>
                <w:spacing w:val="-11"/>
                <w:szCs w:val="21"/>
                <w:highlight w:val="none"/>
              </w:rPr>
              <w:t xml:space="preserve">仓库照片、租房合同或自</w:t>
            </w:r>
            <w:r>
              <w:rPr>
                <w:rFonts w:hint="eastAsia" w:ascii="仿宋" w:hAnsi="仿宋" w:eastAsia="仿宋" w:cs="Times New Roman"/>
                <w:spacing w:val="-11"/>
                <w:szCs w:val="21"/>
                <w:highlight w:val="none"/>
                <w:lang w:val="en-US" w:eastAsia="zh-CN"/>
              </w:rPr>
              <w:t xml:space="preserve">有</w:t>
            </w:r>
            <w:r>
              <w:rPr>
                <w:rFonts w:hint="eastAsia" w:ascii="仿宋" w:hAnsi="仿宋" w:eastAsia="仿宋" w:cs="Times New Roman"/>
                <w:spacing w:val="-11"/>
                <w:szCs w:val="21"/>
                <w:highlight w:val="none"/>
              </w:rPr>
              <w:t xml:space="preserve">产权证明。</w:t>
            </w:r>
            <w:r>
              <w:rPr>
                <w:rFonts w:hint="eastAsia" w:ascii="仿宋" w:hAnsi="仿宋" w:eastAsia="仿宋" w:cs="Times New Roman"/>
                <w:spacing w:val="-11"/>
                <w:szCs w:val="21"/>
                <w:highlight w:val="none"/>
                <w:lang w:eastAsia="zh-CN"/>
              </w:rPr>
              <w:t xml:space="preserve">（</w:t>
            </w:r>
            <w:r>
              <w:rPr>
                <w:rFonts w:ascii="仿宋" w:hAnsi="仿宋" w:eastAsia="仿宋" w:cs="Times New Roman"/>
                <w:spacing w:val="-11"/>
                <w:szCs w:val="21"/>
                <w:highlight w:val="none"/>
              </w:rPr>
              <w:t xml:space="preserve">如投标人为设备制造商本次维保设备的授权经销商，也可提供设备制造商</w:t>
            </w:r>
            <w:r>
              <w:rPr>
                <w:rFonts w:hint="eastAsia" w:ascii="仿宋" w:hAnsi="仿宋" w:eastAsia="仿宋" w:cs="Times New Roman"/>
                <w:spacing w:val="-11"/>
                <w:szCs w:val="21"/>
                <w:highlight w:val="none"/>
                <w:lang w:val="en-US" w:eastAsia="zh-CN"/>
              </w:rPr>
              <w:t xml:space="preserve">相应资料</w:t>
            </w:r>
            <w:r>
              <w:rPr>
                <w:rFonts w:hint="eastAsia" w:ascii="仿宋" w:hAnsi="仿宋" w:eastAsia="仿宋" w:cs="Times New Roman"/>
                <w:spacing w:val="-11"/>
                <w:szCs w:val="21"/>
                <w:highlight w:val="none"/>
                <w:lang w:eastAsia="zh-CN"/>
              </w:rPr>
              <w:t xml:space="preserve">）</w:t>
            </w:r>
            <w:r/>
          </w:p>
        </w:tc>
        <w:tc>
          <w:tcPr>
            <w:tcW w:w="713" w:type="dxa"/>
            <w:vAlign w:val="center"/>
            <w:textDirection w:val="lrTb"/>
            <w:noWrap w:val="false"/>
          </w:tcPr>
          <w:p>
            <w:pPr>
              <w:ind w:left="420" w:hanging="420"/>
              <w:jc w:val="center"/>
              <w:spacing w:line="380" w:lineRule="exact"/>
              <w:widowControl w:val="off"/>
              <w:rPr>
                <w:rFonts w:ascii="仿宋_GB2312" w:eastAsia="仿宋_GB2312"/>
                <w:szCs w:val="21"/>
                <w:highlight w:val="none"/>
              </w:rPr>
            </w:pPr>
            <w:r>
              <w:rPr>
                <w:rFonts w:hint="eastAsia" w:ascii="仿宋_GB2312" w:eastAsia="仿宋_GB2312"/>
                <w:szCs w:val="21"/>
                <w:highlight w:val="none"/>
              </w:rPr>
              <w:t xml:space="preserve">年</w:t>
            </w:r>
            <w:r/>
          </w:p>
        </w:tc>
        <w:tc>
          <w:tcPr>
            <w:tcW w:w="684" w:type="dxa"/>
            <w:vAlign w:val="center"/>
            <w:textDirection w:val="lrTb"/>
            <w:noWrap w:val="false"/>
          </w:tcPr>
          <w:p>
            <w:pPr>
              <w:jc w:val="center"/>
              <w:spacing w:line="380" w:lineRule="exact"/>
              <w:widowControl w:val="off"/>
              <w:rPr>
                <w:rFonts w:hint="default" w:ascii="仿宋_GB2312" w:eastAsia="仿宋_GB2312"/>
                <w:szCs w:val="21"/>
                <w:highlight w:val="none"/>
                <w:lang w:val="en-US" w:eastAsia="zh-CN"/>
              </w:rPr>
            </w:pPr>
            <w:r>
              <w:rPr>
                <w:rFonts w:hint="eastAsia" w:ascii="仿宋_GB2312" w:eastAsia="仿宋_GB2312"/>
                <w:szCs w:val="21"/>
                <w:highlight w:val="none"/>
                <w:lang w:val="en-US" w:eastAsia="zh-CN"/>
              </w:rPr>
              <w:t xml:space="preserve">2年</w:t>
            </w:r>
            <w:r/>
          </w:p>
        </w:tc>
      </w:tr>
    </w:tbl>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二、★商务要求（以下内容均为实质性要求和条件，投标人应在“商务条款响应及偏离表”中逐项作出响应）</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1.服务期限：自合同签订生效之日起两年。</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2.付款方式：每服务半年后付款一次，两年共付四次。</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3.每年度提供4次专业预防性保养并出具完整的保养报告及维修报告。</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4.中标人自中标通知书发出后15日内，需提供设备制造商对本项目授权的售后服务协议或维保服务合同，且服务内容需满足本招标文件服务需求。（投标文件中提供承诺书并加盖投标人公章，格式自拟）。</w:t>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所更换的备件必须为原厂同型号全新备件，不接受维修二手备件，合同签署前一周内提供更换备件为全新配件的承诺函（保证提供原厂合法的全新备件，更换时提供证明材料，否则退还已产生的维保费用，视为虚假应标，中标方承担一切法律责任）。</w:t>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核心备件如：球管、探测器、高压发生器等，需为原厂全新备件，供应商投标时需提供核心备件报关单或原厂备件合格证，以证明具备核心备件的维护能力。更换重要配件（如球管、探测器）需提供维保设备更换配件后的质控检测报告。（如投标人为设备制造商本次维保设备的授权经销商，也可提供设备制造商相应资料）</w:t>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履约保证金：乙方在签订合同前以非现金形式向甲方提交履约保证金，数额为中标价的5%（不超过中标价的10%），服务半年后无息一次性退还。如果乙方未能按合同、招标文件、投标文件履约的，甲方有权终止合同的履行，履约保证金不予退还。</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8.投标人在江苏省或周边省市内有多名驻点CT维修工程师并提供姓名联系方式。（如投标人为设备制造商本次维保设备的授权经销商，也可提供设备制造商相应资料）</w:t>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工程师要求：CT维修工程师人数≥4个，提供经过设备制造商对本项目同型号CT的培训资质证书以及在职证明以及缴纳社保的证明材料。（工程师需提供投标截止时间前三个月在本单位或本单位委托外服、子公司缴纳的任意一个月社保证明及出具的在职证明，否则不予认可。如投标人为设备制造商本次维保设备的授权经销商，也可提供设备制造商相应资料）</w:t>
      </w:r>
      <w:r/>
    </w:p>
    <w:p>
      <w:pPr>
        <w:pStyle w:val="822"/>
        <w:ind w:firstLine="480"/>
        <w:jc w:val="both"/>
        <w:keepLines w:val="0"/>
        <w:keepNext w:val="0"/>
        <w:pageBreakBefore w:val="0"/>
        <w:spacing w:beforeAutospacing="0" w:afterAutospacing="0" w:line="440" w:lineRule="exact"/>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10.中标人需承担解决招标人GE REVOLUTION 256排及GE OPTIMA CT680 64排CT过往发生且未维修的故障。</w:t>
      </w:r>
      <w:r/>
    </w:p>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三、采购标的对应的中小企业划分标准所属行业一览表</w:t>
      </w:r>
      <w:r/>
    </w:p>
    <w:tbl>
      <w:tblPr>
        <w:tblStyle w:val="815"/>
        <w:tblW w:w="80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804"/>
        <w:gridCol w:w="4285"/>
        <w:gridCol w:w="3010"/>
      </w:tblGrid>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2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82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对应中小企业划分标准所属行业</w:t>
            </w:r>
            <w:r/>
          </w:p>
        </w:tc>
      </w:tr>
      <w:tr>
        <w:trPr>
          <w:jc w:val="center"/>
          <w:tblCellSpacing w:w="0" w:type="dxa"/>
          <w:trHeight w:val="352"/>
        </w:trPr>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pStyle w:val="822"/>
              <w:ind w:firstLine="24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85" w:type="dxa"/>
            <w:vAlign w:val="center"/>
            <w:textDirection w:val="lrTb"/>
            <w:noWrap w:val="false"/>
          </w:tcPr>
          <w:p>
            <w:pPr>
              <w:pStyle w:val="822"/>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东台市中医院256排及64排CT维保项目</w:t>
            </w:r>
            <w:r/>
          </w:p>
        </w:tc>
        <w:tc>
          <w:tcPr>
            <w:shd w:val="clear" w:color="auto" w:fill="auto"/>
            <w:tcBorders>
              <w:top w:val="single" w:color="000000" w:sz="4" w:space="0"/>
              <w:left w:val="single" w:color="000000" w:sz="4" w:space="0"/>
              <w:bottom w:val="single" w:color="000000" w:sz="4" w:space="0"/>
              <w:right w:val="single" w:color="000000" w:sz="4" w:space="0"/>
            </w:tcBorders>
            <w:tcW w:w="3010" w:type="dxa"/>
            <w:vAlign w:val="center"/>
            <w:textDirection w:val="lrTb"/>
            <w:noWrap w:val="false"/>
          </w:tcPr>
          <w:p>
            <w:pPr>
              <w:pStyle w:val="822"/>
              <w:ind w:firstLine="480"/>
              <w:jc w:val="both"/>
              <w:keepLines w:val="0"/>
              <w:keepNext w:val="0"/>
              <w:pageBreakBefore w:val="0"/>
              <w:spacing w:beforeAutospacing="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租赁和商务服务业</w:t>
            </w:r>
            <w:r/>
          </w:p>
        </w:tc>
      </w:tr>
    </w:tbl>
    <w:p>
      <w:pPr>
        <w:pStyle w:val="822"/>
        <w:ind w:firstLine="480"/>
        <w:jc w:val="both"/>
        <w:keepLines w:val="0"/>
        <w:keepNext w:val="0"/>
        <w:pageBreakBefore w:val="0"/>
        <w:spacing w:beforeAutospacing="0" w:afterAutospacing="0" w:line="440" w:lineRule="exact"/>
        <w:widowControl w:val="off"/>
        <w:rPr>
          <w:rFonts w:hint="eastAsia" w:ascii="黑体" w:hAnsi="宋体" w:eastAsia="黑体" w:cs="黑体"/>
          <w:color w:val="auto"/>
          <w:sz w:val="44"/>
          <w:szCs w:val="44"/>
          <w:highlight w:val="none"/>
        </w:rPr>
      </w:pPr>
      <w:r>
        <w:rPr>
          <w:rFonts w:hint="eastAsia" w:ascii="宋体" w:hAnsi="宋体" w:eastAsia="宋体" w:cs="宋体"/>
          <w:color w:val="auto"/>
          <w:sz w:val="24"/>
          <w:szCs w:val="24"/>
          <w:highlight w:val="none"/>
        </w:rPr>
        <w:t xml:space="preserve"> </w:t>
      </w:r>
      <w:bookmarkStart w:id="181" w:name="_Toc120614281"/>
      <w:r/>
      <w:r/>
    </w:p>
    <w:p>
      <w:pPr>
        <w:keepLines w:val="0"/>
        <w:keepNext w:val="0"/>
        <w:pageBreakBefore w:val="0"/>
        <w:spacing w:line="440" w:lineRule="exact"/>
        <w:widowControl w:val="off"/>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2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 xml:space="preserve">评标方法与评标标准</w:t>
      </w:r>
      <w:r/>
    </w:p>
    <w:p>
      <w:pPr>
        <w:pStyle w:val="822"/>
        <w:jc w:val="both"/>
        <w:spacing w:beforeAutospacing="0" w:afterAutospacing="0"/>
        <w:rPr>
          <w:color w:val="auto"/>
          <w:highlight w:val="none"/>
        </w:rPr>
      </w:pPr>
      <w:r>
        <w:rPr>
          <w:color w:val="auto"/>
          <w:highlight w:val="none"/>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一、定标原则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22"/>
        <w:ind w:firstLine="441"/>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b/>
          <w:color w:val="auto"/>
          <w:highlight w:val="none"/>
        </w:rPr>
        <w:t xml:space="preserve">政府采购政策功能落实</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1、小微型企业价格扣除</w:t>
      </w:r>
      <w:r/>
    </w:p>
    <w:p>
      <w:pPr>
        <w:pStyle w:val="828"/>
        <w:ind w:firstLine="360"/>
        <w:rPr>
          <w:rFonts w:hint="eastAsia" w:ascii="宋体" w:hAnsi="宋体" w:eastAsia="宋体" w:cs="宋体"/>
          <w:color w:val="auto"/>
          <w:highlight w:val="none"/>
        </w:rPr>
      </w:pPr>
      <w:r>
        <w:rPr>
          <w:rFonts w:hint="eastAsia" w:ascii="宋体" w:hAnsi="宋体" w:eastAsia="宋体" w:cs="宋体"/>
          <w:color w:val="auto"/>
          <w:highlight w:val="none"/>
        </w:rPr>
        <w:t xml:space="preserve">（1）本项目若不专门面向中小企业采购，对</w:t>
      </w:r>
      <w:r>
        <w:rPr>
          <w:rFonts w:hint="eastAsia" w:ascii="宋体" w:hAnsi="宋体" w:eastAsia="宋体" w:cs="宋体"/>
          <w:color w:val="auto"/>
          <w:highlight w:val="none"/>
          <w:lang w:val="en-US" w:eastAsia="zh-CN"/>
        </w:rPr>
        <w:t xml:space="preserve">符合规定的</w:t>
      </w:r>
      <w:r>
        <w:rPr>
          <w:rFonts w:hint="eastAsia" w:ascii="宋体" w:hAnsi="宋体" w:eastAsia="宋体" w:cs="宋体"/>
          <w:color w:val="auto"/>
          <w:highlight w:val="none"/>
        </w:rPr>
        <w:t xml:space="preserve">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给予20%的扣除价格，用扣除后的价格参与评审；若专门面向中小企业采购，不再对小型和微型企业</w:t>
      </w:r>
      <w:r>
        <w:rPr>
          <w:rFonts w:hint="eastAsia" w:ascii="宋体" w:hAnsi="宋体" w:eastAsia="宋体" w:cs="宋体"/>
          <w:color w:val="auto"/>
          <w:highlight w:val="none"/>
          <w:lang w:val="en-US" w:eastAsia="zh-CN"/>
        </w:rPr>
        <w:t xml:space="preserve">报价</w:t>
      </w:r>
      <w:r>
        <w:rPr>
          <w:rFonts w:hint="eastAsia" w:ascii="宋体" w:hAnsi="宋体" w:eastAsia="宋体" w:cs="宋体"/>
          <w:color w:val="auto"/>
          <w:highlight w:val="none"/>
        </w:rPr>
        <w:t xml:space="preserve">给予价格扣除。</w:t>
      </w:r>
      <w:r/>
    </w:p>
    <w:p>
      <w:pPr>
        <w:pStyle w:val="82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p>
    <w:p>
      <w:pPr>
        <w:pStyle w:val="822"/>
        <w:ind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（3）企业标准请参照《关于印发中小企业划型标准规定的通知》（工信部联企业[2011]300号）文件规定自行填写。</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2、残疾人福利单位价格扣除</w:t>
      </w:r>
      <w:r/>
    </w:p>
    <w:p>
      <w:pPr>
        <w:pStyle w:val="82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（1）本项目对残疾人福利性单位视同小型、微型企业，给予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2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（2）残疾人福利单位需按照采购文件的要求提供《残疾人福利性单位声明函》。</w:t>
      </w:r>
      <w:r/>
    </w:p>
    <w:p>
      <w:pPr>
        <w:pStyle w:val="822"/>
        <w:ind w:left="120" w:firstLine="36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（3）残疾人福利单位标准请参照《关于促进残疾人就业政府采购政策的通知》（财库〔2017〕141号）。</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3、监狱和戒毒企业价格扣除</w:t>
      </w:r>
      <w:r/>
    </w:p>
    <w:p>
      <w:pPr>
        <w:pStyle w:val="822"/>
        <w:ind w:left="120" w:firstLine="360"/>
        <w:spacing w:before="120" w:beforeAutospacing="0" w:after="120" w:afterAutospacing="0" w:line="0" w:lineRule="atLeas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（1）本项目对监狱和戒毒企业（简称监狱企业）视同小型、微型企业，给予</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（3）监狱企业标准请参照《关于政府采购支持监狱企业发展有关问题的通知》（财库[2014]68号）。</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4、残疾人福利单位、监狱企业属于小型、微型企业的，不重复享受政策。</w:t>
      </w:r>
      <w:r/>
    </w:p>
    <w:p>
      <w:pPr>
        <w:pStyle w:val="822"/>
        <w:ind w:firstLine="480"/>
        <w:spacing w:before="120" w:beforeAutospacing="0" w:after="12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highlight w:val="none"/>
          <w:u w:val="single"/>
        </w:rPr>
        <w:t xml:space="preserve">6%</w:t>
      </w:r>
      <w:r>
        <w:rPr>
          <w:rFonts w:hint="eastAsia" w:ascii="宋体" w:hAnsi="宋体" w:eastAsia="宋体" w:cs="宋体"/>
          <w:color w:val="auto"/>
          <w:highlight w:val="none"/>
        </w:rPr>
        <w:t xml:space="preserve">的价格扣除，用扣除后的价格参与评审。</w:t>
      </w:r>
      <w:r/>
    </w:p>
    <w:p>
      <w:pPr>
        <w:pStyle w:val="822"/>
        <w:ind w:left="120" w:firstLine="360"/>
        <w:spacing w:before="120" w:beforeAutospacing="0" w:after="120" w:afterAutospacing="0" w:line="0" w:lineRule="atLeast"/>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6、联合体各方均为小型、微型企业（残疾人福利单位、监狱企业）的，联合体享受</w:t>
      </w:r>
      <w:r>
        <w:rPr>
          <w:rFonts w:hint="eastAsia" w:ascii="宋体" w:hAnsi="宋体" w:eastAsia="宋体" w:cs="宋体"/>
          <w:color w:val="auto"/>
          <w:highlight w:val="none"/>
          <w:u w:val="single"/>
        </w:rPr>
        <w:t xml:space="preserve">20%</w:t>
      </w:r>
      <w:r>
        <w:rPr>
          <w:rFonts w:hint="eastAsia" w:ascii="宋体" w:hAnsi="宋体" w:eastAsia="宋体" w:cs="宋体"/>
          <w:color w:val="auto"/>
          <w:highlight w:val="none"/>
          <w:u w:val="single"/>
          <w:lang w:eastAsia="zh-CN"/>
        </w:rPr>
        <w:t xml:space="preserve">的价格扣除。</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822"/>
        <w:ind w:firstLine="482"/>
        <w:spacing w:before="120" w:beforeAutospacing="0" w:after="120" w:afterAutospacing="0" w:line="0" w:lineRule="atLeast"/>
        <w:rPr>
          <w:rFonts w:hint="eastAsia" w:ascii="黑体" w:hAnsi="宋体" w:eastAsia="黑体" w:cs="黑体"/>
          <w:color w:val="auto"/>
          <w:sz w:val="44"/>
          <w:szCs w:val="44"/>
          <w:highlight w:val="none"/>
        </w:rPr>
      </w:pPr>
      <w:r>
        <w:rPr>
          <w:rFonts w:hint="eastAsia" w:ascii="宋体" w:hAnsi="宋体" w:eastAsia="宋体" w:cs="宋体"/>
          <w:b/>
          <w:color w:val="auto"/>
          <w:highlight w:val="none"/>
        </w:rPr>
        <w:t xml:space="preserve">评标方法与评标标准</w:t>
      </w:r>
      <w:r>
        <w:rPr>
          <w:rFonts w:hint="eastAsia" w:ascii="宋体" w:hAnsi="宋体" w:eastAsia="宋体" w:cs="宋体"/>
          <w:color w:val="auto"/>
          <w:highlight w:val="none"/>
        </w:rPr>
        <w:t xml:space="preserve"> </w:t>
      </w:r>
      <w:r/>
    </w:p>
    <w:tbl>
      <w:tblPr>
        <w:tblStyle w:val="815"/>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717"/>
        <w:gridCol w:w="925"/>
        <w:gridCol w:w="6942"/>
      </w:tblGrid>
      <w:tr>
        <w:trPr>
          <w:trHeight w:val="543"/>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内容</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打分要求</w:t>
            </w:r>
            <w:r/>
          </w:p>
        </w:tc>
      </w:tr>
      <w:tr>
        <w:trPr>
          <w:trHeight w:val="854"/>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一</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价格部分</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iCs/>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jc w:val="left"/>
              <w:spacing w:line="360" w:lineRule="exact"/>
              <w:rPr>
                <w:rFonts w:ascii="仿宋" w:hAnsi="仿宋" w:eastAsia="仿宋"/>
                <w:i/>
                <w:iCs/>
                <w:szCs w:val="21"/>
                <w:highlight w:val="none"/>
              </w:rPr>
            </w:pPr>
            <w:r>
              <w:rPr>
                <w:rFonts w:hint="eastAsia" w:ascii="仿宋" w:hAnsi="仿宋" w:eastAsia="仿宋"/>
                <w:szCs w:val="21"/>
                <w:highlight w:val="none"/>
              </w:rPr>
              <w:t xml:space="preserve">满足招标文件要求且投标价格最低的投标报价为基准价，其价格分为满分。报价得分=(评标基准价/投标报价)×20。</w:t>
            </w:r>
            <w:r/>
          </w:p>
        </w:tc>
      </w:tr>
      <w:tr>
        <w:trPr>
          <w:trHeight w:val="1075"/>
        </w:trPr>
        <w:tc>
          <w:tcPr>
            <w:tcBorders>
              <w:top w:val="single" w:color="auto" w:sz="4" w:space="0"/>
              <w:left w:val="single" w:color="auto" w:sz="4" w:space="0"/>
              <w:bottom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二</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服务要求</w:t>
            </w:r>
            <w:r/>
          </w:p>
        </w:tc>
        <w:tc>
          <w:tcPr>
            <w:tcBorders>
              <w:top w:val="single" w:color="auto" w:sz="4" w:space="0"/>
              <w:left w:val="single" w:color="auto" w:sz="4" w:space="0"/>
              <w:right w:val="single" w:color="auto" w:sz="4" w:space="0"/>
            </w:tcBorders>
            <w:tcW w:w="925" w:type="dxa"/>
            <w:vAlign w:val="center"/>
            <w:textDirection w:val="lrTb"/>
            <w:noWrap w:val="false"/>
          </w:tcPr>
          <w:p>
            <w:pPr>
              <w:jc w:val="center"/>
              <w:spacing w:line="360" w:lineRule="exact"/>
              <w:rPr>
                <w:rFonts w:hint="default" w:ascii="仿宋" w:hAnsi="仿宋" w:eastAsia="仿宋"/>
                <w:szCs w:val="21"/>
                <w:highlight w:val="none"/>
                <w:lang w:val="en-US" w:eastAsia="zh-CN"/>
              </w:rPr>
            </w:pPr>
            <w:r>
              <w:rPr>
                <w:rFonts w:hint="eastAsia" w:ascii="仿宋" w:hAnsi="仿宋" w:eastAsia="仿宋"/>
                <w:szCs w:val="21"/>
                <w:highlight w:val="none"/>
                <w:lang w:val="en-US" w:eastAsia="zh-CN"/>
              </w:rPr>
              <w:t xml:space="preserve">36</w:t>
            </w:r>
            <w:r/>
          </w:p>
        </w:tc>
        <w:tc>
          <w:tcPr>
            <w:tcBorders>
              <w:top w:val="single" w:color="auto" w:sz="4" w:space="0"/>
              <w:left w:val="single" w:color="auto" w:sz="4" w:space="0"/>
              <w:right w:val="single" w:color="auto" w:sz="4" w:space="0"/>
            </w:tcBorders>
            <w:tcW w:w="6942" w:type="dxa"/>
            <w:vAlign w:val="center"/>
            <w:textDirection w:val="lrTb"/>
            <w:noWrap w:val="false"/>
          </w:tcPr>
          <w:p>
            <w:pPr>
              <w:ind w:firstLine="420"/>
              <w:jc w:val="left"/>
              <w:spacing w:line="320" w:lineRule="exact"/>
              <w:rPr>
                <w:rFonts w:hint="eastAsia" w:ascii="仿宋" w:hAnsi="仿宋" w:eastAsia="仿宋"/>
                <w:sz w:val="21"/>
                <w:szCs w:val="21"/>
                <w:highlight w:val="none"/>
                <w:lang w:eastAsia="zh-CN"/>
              </w:rPr>
            </w:pPr>
            <w:r>
              <w:rPr>
                <w:rFonts w:hint="eastAsia" w:ascii="仿宋" w:hAnsi="仿宋" w:eastAsia="仿宋"/>
                <w:sz w:val="21"/>
                <w:szCs w:val="21"/>
                <w:highlight w:val="none"/>
                <w:lang w:val="en-US" w:eastAsia="zh-CN"/>
              </w:rPr>
              <w:t xml:space="preserve">1.</w:t>
            </w:r>
            <w:r>
              <w:rPr>
                <w:rFonts w:hint="eastAsia" w:ascii="仿宋" w:hAnsi="仿宋" w:eastAsia="仿宋"/>
                <w:sz w:val="21"/>
                <w:szCs w:val="21"/>
                <w:highlight w:val="none"/>
              </w:rPr>
              <w:t xml:space="preserve">全部无偏离得基准分</w:t>
            </w:r>
            <w:r>
              <w:rPr>
                <w:rFonts w:hint="eastAsia" w:ascii="仿宋" w:hAnsi="仿宋" w:eastAsia="仿宋"/>
                <w:sz w:val="21"/>
                <w:szCs w:val="21"/>
                <w:highlight w:val="none"/>
                <w:lang w:val="en-US" w:eastAsia="zh-CN"/>
              </w:rPr>
              <w:t xml:space="preserve">36</w:t>
            </w:r>
            <w:r>
              <w:rPr>
                <w:rFonts w:hint="eastAsia" w:ascii="仿宋" w:hAnsi="仿宋" w:eastAsia="仿宋"/>
                <w:sz w:val="21"/>
                <w:szCs w:val="21"/>
                <w:highlight w:val="none"/>
              </w:rPr>
              <w:t xml:space="preserve">分</w:t>
            </w:r>
            <w:r>
              <w:rPr>
                <w:rFonts w:hint="eastAsia" w:ascii="仿宋" w:hAnsi="仿宋" w:eastAsia="仿宋"/>
                <w:sz w:val="21"/>
                <w:szCs w:val="21"/>
                <w:highlight w:val="none"/>
                <w:lang w:eastAsia="zh-CN"/>
              </w:rPr>
              <w:t xml:space="preserve">，</w:t>
            </w:r>
            <w:r>
              <w:rPr>
                <w:rFonts w:hint="eastAsia" w:ascii="仿宋" w:hAnsi="仿宋" w:eastAsia="仿宋"/>
                <w:sz w:val="21"/>
                <w:szCs w:val="21"/>
                <w:highlight w:val="none"/>
                <w:lang w:val="en-US" w:eastAsia="zh-CN"/>
              </w:rPr>
              <w:t xml:space="preserve">标记▲的参数</w:t>
            </w:r>
            <w:r>
              <w:rPr>
                <w:rFonts w:hint="eastAsia" w:ascii="仿宋" w:hAnsi="仿宋" w:eastAsia="仿宋"/>
                <w:sz w:val="21"/>
                <w:szCs w:val="21"/>
                <w:highlight w:val="none"/>
              </w:rPr>
              <w:t xml:space="preserve">每负偏离1条扣</w:t>
            </w:r>
            <w:r>
              <w:rPr>
                <w:rFonts w:hint="eastAsia" w:ascii="仿宋" w:hAnsi="仿宋" w:eastAsia="仿宋"/>
                <w:sz w:val="21"/>
                <w:szCs w:val="21"/>
                <w:highlight w:val="none"/>
                <w:lang w:val="en-US" w:eastAsia="zh-CN"/>
              </w:rPr>
              <w:t xml:space="preserve">6</w:t>
            </w:r>
            <w:r>
              <w:rPr>
                <w:rFonts w:hint="eastAsia" w:ascii="仿宋" w:hAnsi="仿宋" w:eastAsia="仿宋"/>
                <w:sz w:val="21"/>
                <w:szCs w:val="21"/>
                <w:highlight w:val="none"/>
              </w:rPr>
              <w:t xml:space="preserve">分</w:t>
            </w:r>
            <w:r>
              <w:rPr>
                <w:rFonts w:hint="eastAsia" w:ascii="仿宋" w:hAnsi="仿宋" w:eastAsia="仿宋"/>
                <w:sz w:val="21"/>
                <w:szCs w:val="21"/>
                <w:highlight w:val="none"/>
                <w:lang w:eastAsia="zh-CN"/>
              </w:rPr>
              <w:t xml:space="preserve">，</w:t>
            </w:r>
            <w:r>
              <w:rPr>
                <w:rFonts w:hint="eastAsia" w:ascii="仿宋" w:hAnsi="仿宋" w:eastAsia="仿宋"/>
                <w:sz w:val="21"/>
                <w:szCs w:val="21"/>
                <w:highlight w:val="none"/>
              </w:rPr>
              <w:t xml:space="preserve">无标记参数每负偏离1条扣</w:t>
            </w:r>
            <w:r>
              <w:rPr>
                <w:rFonts w:hint="eastAsia" w:ascii="仿宋" w:hAnsi="仿宋" w:eastAsia="仿宋"/>
                <w:sz w:val="21"/>
                <w:szCs w:val="21"/>
                <w:highlight w:val="none"/>
                <w:lang w:val="en-US" w:eastAsia="zh-CN"/>
              </w:rPr>
              <w:t xml:space="preserve">3</w:t>
            </w:r>
            <w:r>
              <w:rPr>
                <w:rFonts w:hint="eastAsia" w:ascii="仿宋" w:hAnsi="仿宋" w:eastAsia="仿宋"/>
                <w:sz w:val="21"/>
                <w:szCs w:val="21"/>
                <w:highlight w:val="none"/>
              </w:rPr>
              <w:t xml:space="preserve">分</w:t>
            </w:r>
            <w:r>
              <w:rPr>
                <w:rFonts w:hint="eastAsia" w:ascii="仿宋" w:hAnsi="仿宋" w:eastAsia="仿宋"/>
                <w:sz w:val="21"/>
                <w:szCs w:val="21"/>
                <w:highlight w:val="none"/>
                <w:lang w:eastAsia="zh-CN"/>
              </w:rPr>
              <w:t xml:space="preserve">。</w:t>
            </w:r>
            <w:r/>
          </w:p>
          <w:p>
            <w:pPr>
              <w:ind w:firstLine="420"/>
              <w:jc w:val="left"/>
              <w:spacing w:line="320" w:lineRule="exact"/>
              <w:rPr>
                <w:rFonts w:hint="eastAsia" w:ascii="仿宋" w:hAnsi="仿宋" w:eastAsia="仿宋"/>
                <w:szCs w:val="21"/>
                <w:highlight w:val="none"/>
                <w:lang w:eastAsia="zh-CN"/>
              </w:rPr>
            </w:pPr>
            <w:r>
              <w:rPr>
                <w:rFonts w:hint="eastAsia" w:ascii="仿宋" w:hAnsi="仿宋" w:eastAsia="仿宋"/>
                <w:szCs w:val="21"/>
                <w:highlight w:val="none"/>
                <w:lang w:val="en-US" w:eastAsia="zh-CN"/>
              </w:rPr>
              <w:t xml:space="preserve">2.</w:t>
            </w:r>
            <w:r>
              <w:rPr>
                <w:rFonts w:hint="eastAsia" w:ascii="仿宋" w:hAnsi="仿宋" w:eastAsia="仿宋"/>
                <w:szCs w:val="21"/>
                <w:highlight w:val="none"/>
              </w:rPr>
              <w:t xml:space="preserve">★条款或内容为实质性要求，必须满足，否则视为无效投标</w:t>
            </w:r>
            <w:r>
              <w:rPr>
                <w:rFonts w:hint="eastAsia" w:ascii="仿宋" w:hAnsi="仿宋" w:eastAsia="仿宋"/>
                <w:szCs w:val="21"/>
                <w:highlight w:val="none"/>
                <w:lang w:eastAsia="zh-CN"/>
              </w:rPr>
              <w:t xml:space="preserve">。</w:t>
            </w:r>
            <w:r/>
          </w:p>
          <w:p>
            <w:pPr>
              <w:pStyle w:val="834"/>
              <w:ind w:right="87" w:firstLine="420"/>
              <w:jc w:val="both"/>
              <w:spacing w:before="2" w:line="242" w:lineRule="auto"/>
              <w:rPr>
                <w:rFonts w:ascii="仿宋" w:hAnsi="仿宋" w:eastAsia="仿宋" w:cs="Times New Roman"/>
                <w:sz w:val="21"/>
                <w:szCs w:val="21"/>
                <w:highlight w:val="none"/>
                <w:lang w:val="en-US" w:bidi="ar-SA"/>
              </w:rPr>
            </w:pPr>
            <w:r>
              <w:rPr>
                <w:rFonts w:hint="eastAsia" w:ascii="仿宋" w:hAnsi="仿宋" w:eastAsia="仿宋" w:cs="Times New Roman"/>
                <w:sz w:val="21"/>
                <w:szCs w:val="21"/>
                <w:highlight w:val="none"/>
                <w:lang w:val="en-US" w:bidi="ar-SA"/>
              </w:rPr>
              <w:t xml:space="preserve">备注：1）</w:t>
            </w:r>
            <w:r>
              <w:rPr>
                <w:rFonts w:ascii="仿宋" w:hAnsi="仿宋" w:eastAsia="仿宋" w:cs="Times New Roman"/>
                <w:sz w:val="21"/>
                <w:szCs w:val="21"/>
                <w:highlight w:val="none"/>
                <w:lang w:val="en-US" w:bidi="ar-SA"/>
              </w:rPr>
              <w:t xml:space="preserve">要求提供证明材料的参数，以证明材料为依据，未提供证明材料</w:t>
            </w:r>
            <w:r>
              <w:rPr>
                <w:rFonts w:hint="eastAsia" w:ascii="仿宋" w:hAnsi="仿宋" w:eastAsia="仿宋" w:cs="Times New Roman"/>
                <w:sz w:val="21"/>
                <w:szCs w:val="21"/>
                <w:highlight w:val="none"/>
                <w:lang w:val="en-US" w:bidi="ar-SA"/>
              </w:rPr>
              <w:t xml:space="preserve">或提供不全的</w:t>
            </w:r>
            <w:r>
              <w:rPr>
                <w:rFonts w:ascii="仿宋" w:hAnsi="仿宋" w:eastAsia="仿宋" w:cs="Times New Roman"/>
                <w:sz w:val="21"/>
                <w:szCs w:val="21"/>
                <w:highlight w:val="none"/>
                <w:lang w:val="en-US" w:bidi="ar-SA"/>
              </w:rPr>
              <w:t xml:space="preserve">，视为负偏离</w:t>
            </w:r>
            <w:r>
              <w:rPr>
                <w:rFonts w:hint="eastAsia" w:ascii="仿宋" w:hAnsi="仿宋" w:eastAsia="仿宋" w:cs="Times New Roman"/>
                <w:sz w:val="21"/>
                <w:szCs w:val="21"/>
                <w:highlight w:val="none"/>
                <w:lang w:val="en-US" w:eastAsia="zh-CN" w:bidi="ar-SA"/>
              </w:rPr>
              <w:t xml:space="preserve">。</w:t>
            </w:r>
            <w:r>
              <w:rPr>
                <w:rFonts w:ascii="仿宋" w:hAnsi="仿宋" w:eastAsia="仿宋" w:cs="Times New Roman"/>
                <w:sz w:val="21"/>
                <w:szCs w:val="21"/>
                <w:highlight w:val="none"/>
                <w:lang w:val="en-US" w:bidi="ar-SA"/>
              </w:rPr>
              <w:t xml:space="preserve">未标注证明材料在投标文件中对应页码的，评委会有权不予认可。</w:t>
            </w:r>
            <w:r/>
          </w:p>
          <w:p>
            <w:pPr>
              <w:pStyle w:val="834"/>
              <w:ind w:right="87" w:firstLine="630"/>
              <w:jc w:val="both"/>
              <w:spacing w:before="2" w:line="242" w:lineRule="auto"/>
              <w:rPr>
                <w:rFonts w:ascii="仿宋" w:hAnsi="仿宋" w:eastAsia="仿宋"/>
                <w:szCs w:val="21"/>
                <w:highlight w:val="none"/>
              </w:rPr>
            </w:pPr>
            <w:r>
              <w:rPr>
                <w:rFonts w:hint="eastAsia" w:ascii="仿宋" w:hAnsi="仿宋" w:eastAsia="仿宋" w:cs="Times New Roman"/>
                <w:sz w:val="21"/>
                <w:szCs w:val="21"/>
                <w:highlight w:val="none"/>
                <w:lang w:val="en-US" w:bidi="ar-SA"/>
              </w:rPr>
              <w:t xml:space="preserve">2）不要求提供证明材料的参数，以“技术参数响应及偏离表”为依据。</w:t>
            </w:r>
            <w:r/>
          </w:p>
        </w:tc>
      </w:tr>
      <w:tr>
        <w:trPr>
          <w:trHeight w:val="1075"/>
        </w:trPr>
        <w:tc>
          <w:tcPr>
            <w:tcBorders>
              <w:left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三</w:t>
            </w:r>
            <w:r/>
          </w:p>
        </w:tc>
        <w:tc>
          <w:tcPr>
            <w:tcBorders>
              <w:left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ascii="仿宋" w:hAnsi="仿宋" w:eastAsia="仿宋"/>
                <w:szCs w:val="21"/>
                <w:highlight w:val="none"/>
              </w:rPr>
              <w:t xml:space="preserve">履约能力</w:t>
            </w:r>
            <w:r/>
          </w:p>
        </w:tc>
        <w:tc>
          <w:tcPr>
            <w:tcBorders>
              <w:top w:val="single" w:color="auto" w:sz="4" w:space="0"/>
              <w:left w:val="single" w:color="auto" w:sz="4" w:space="0"/>
              <w:right w:val="single" w:color="auto" w:sz="4" w:space="0"/>
            </w:tcBorders>
            <w:tcW w:w="925" w:type="dxa"/>
            <w:vAlign w:val="center"/>
            <w:textDirection w:val="lrTb"/>
            <w:noWrap w:val="false"/>
          </w:tcPr>
          <w:p>
            <w:pPr>
              <w:jc w:val="center"/>
              <w:spacing w:line="360" w:lineRule="exact"/>
              <w:rPr>
                <w:rFonts w:hint="default" w:ascii="仿宋" w:hAnsi="仿宋" w:eastAsia="仿宋"/>
                <w:szCs w:val="21"/>
                <w:highlight w:val="none"/>
                <w:lang w:val="en-US" w:eastAsia="zh-CN"/>
              </w:rPr>
            </w:pPr>
            <w:r>
              <w:rPr>
                <w:rFonts w:hint="eastAsia" w:ascii="仿宋" w:hAnsi="仿宋" w:eastAsia="仿宋"/>
                <w:szCs w:val="21"/>
                <w:highlight w:val="none"/>
                <w:lang w:val="en-US" w:eastAsia="zh-CN"/>
              </w:rPr>
              <w:t xml:space="preserve">10</w:t>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pStyle w:val="834"/>
              <w:ind w:right="87" w:firstLine="420"/>
              <w:jc w:val="both"/>
              <w:spacing w:before="2" w:line="242" w:lineRule="auto"/>
              <w:rPr>
                <w:rFonts w:ascii="仿宋" w:hAnsi="仿宋" w:eastAsia="仿宋" w:cs="Times New Roman"/>
                <w:sz w:val="21"/>
                <w:szCs w:val="21"/>
                <w:highlight w:val="none"/>
                <w:lang w:val="en-US" w:bidi="ar-SA"/>
              </w:rPr>
            </w:pPr>
            <w:r>
              <w:rPr>
                <w:rFonts w:hint="eastAsia" w:ascii="仿宋" w:hAnsi="仿宋" w:eastAsia="仿宋" w:cs="Times New Roman"/>
                <w:sz w:val="21"/>
                <w:szCs w:val="21"/>
                <w:highlight w:val="none"/>
                <w:lang w:val="en-US" w:bidi="ar-SA"/>
              </w:rPr>
              <w:t xml:space="preserve">1.投标供应商具有“ISO 9001 质量管理体系认证”证书，且证书覆盖范围必须包含医疗器械维修服务及保养维护的得2分，不满足不得分。</w:t>
            </w:r>
            <w:r/>
          </w:p>
          <w:p>
            <w:pPr>
              <w:pStyle w:val="834"/>
              <w:ind w:right="87" w:firstLine="420"/>
              <w:jc w:val="both"/>
              <w:spacing w:before="2" w:line="242" w:lineRule="auto"/>
              <w:rPr>
                <w:rFonts w:hint="eastAsia" w:ascii="仿宋" w:hAnsi="仿宋" w:eastAsia="仿宋" w:cs="Times New Roman"/>
                <w:sz w:val="21"/>
                <w:szCs w:val="21"/>
                <w:highlight w:val="none"/>
                <w:lang w:val="en-US" w:bidi="ar-SA"/>
              </w:rPr>
            </w:pPr>
            <w:r>
              <w:rPr>
                <w:rFonts w:hint="eastAsia" w:ascii="仿宋" w:hAnsi="仿宋" w:eastAsia="仿宋" w:cs="Times New Roman"/>
                <w:sz w:val="21"/>
                <w:szCs w:val="21"/>
                <w:highlight w:val="none"/>
                <w:lang w:val="en-US" w:bidi="ar-SA"/>
              </w:rPr>
              <w:t xml:space="preserve">2.投标供应商具有辐射安全许可证，证书范围包含III类医疗器械销售的得2分，</w:t>
            </w:r>
            <w:bookmarkStart w:id="182" w:name="OLE_LINK1"/>
            <w:r>
              <w:rPr>
                <w:rFonts w:hint="eastAsia" w:ascii="仿宋" w:hAnsi="仿宋" w:eastAsia="仿宋" w:cs="Times New Roman"/>
                <w:sz w:val="21"/>
                <w:szCs w:val="21"/>
                <w:highlight w:val="none"/>
                <w:lang w:val="en-US" w:bidi="ar-SA"/>
              </w:rPr>
              <w:t xml:space="preserve">不满足不得分。</w:t>
            </w:r>
            <w:bookmarkEnd w:id="182"/>
            <w:r/>
            <w:r/>
          </w:p>
          <w:p>
            <w:pPr>
              <w:pStyle w:val="834"/>
              <w:ind w:right="87" w:firstLine="420"/>
              <w:jc w:val="both"/>
              <w:spacing w:before="2" w:line="242" w:lineRule="auto"/>
              <w:rPr>
                <w:rFonts w:hint="default" w:ascii="仿宋" w:hAnsi="仿宋" w:eastAsia="仿宋" w:cs="Times New Roman"/>
                <w:sz w:val="21"/>
                <w:szCs w:val="21"/>
                <w:highlight w:val="none"/>
                <w:lang w:val="en-US" w:eastAsia="zh-CN" w:bidi="ar-SA"/>
              </w:rPr>
            </w:pPr>
            <w:r>
              <w:rPr>
                <w:rFonts w:hint="eastAsia" w:ascii="仿宋" w:hAnsi="仿宋" w:eastAsia="仿宋" w:cs="Times New Roman"/>
                <w:sz w:val="21"/>
                <w:szCs w:val="21"/>
                <w:highlight w:val="none"/>
                <w:lang w:val="en-US" w:bidi="ar-SA"/>
              </w:rPr>
              <w:t xml:space="preserve">3.拟派服务人员中，投标</w:t>
            </w:r>
            <w:r>
              <w:rPr>
                <w:rFonts w:hint="eastAsia" w:ascii="仿宋" w:hAnsi="仿宋" w:eastAsia="仿宋" w:cs="Times New Roman"/>
                <w:sz w:val="21"/>
                <w:szCs w:val="21"/>
                <w:highlight w:val="none"/>
                <w:lang w:val="en-US" w:eastAsia="zh-CN" w:bidi="ar-SA"/>
              </w:rPr>
              <w:t xml:space="preserve">人</w:t>
            </w:r>
            <w:r>
              <w:rPr>
                <w:rFonts w:hint="eastAsia" w:ascii="仿宋" w:hAnsi="仿宋" w:eastAsia="仿宋" w:cs="Times New Roman"/>
                <w:sz w:val="21"/>
                <w:szCs w:val="21"/>
                <w:highlight w:val="none"/>
                <w:lang w:val="en-US" w:bidi="ar-SA"/>
              </w:rPr>
              <w:t xml:space="preserve">提供的工程师具有有效期内的CT培训合格证书</w:t>
            </w:r>
            <w:r>
              <w:rPr>
                <w:rFonts w:hint="eastAsia" w:ascii="仿宋" w:hAnsi="仿宋" w:eastAsia="仿宋" w:cs="Times New Roman"/>
                <w:sz w:val="21"/>
                <w:szCs w:val="21"/>
                <w:highlight w:val="none"/>
                <w:lang w:val="en-US" w:bidi="ar-SA"/>
              </w:rPr>
              <w:t xml:space="preserve">（需现场查验）</w:t>
            </w:r>
            <w:r>
              <w:rPr>
                <w:rFonts w:hint="eastAsia" w:ascii="仿宋" w:hAnsi="仿宋" w:eastAsia="仿宋" w:cs="Times New Roman"/>
                <w:sz w:val="21"/>
                <w:szCs w:val="21"/>
                <w:highlight w:val="none"/>
                <w:lang w:val="en-US" w:bidi="ar-SA"/>
              </w:rPr>
              <w:t xml:space="preserve">，并提供在职证明</w:t>
            </w:r>
            <w:r>
              <w:rPr>
                <w:rFonts w:hint="eastAsia" w:ascii="仿宋" w:hAnsi="仿宋" w:eastAsia="仿宋" w:cs="Times New Roman"/>
                <w:sz w:val="21"/>
                <w:szCs w:val="21"/>
                <w:highlight w:val="none"/>
                <w:lang w:val="en-US" w:eastAsia="zh-CN" w:bidi="ar-SA"/>
              </w:rPr>
              <w:t xml:space="preserve">（提供社保证明）</w:t>
            </w:r>
            <w:r>
              <w:rPr>
                <w:rFonts w:hint="eastAsia" w:ascii="仿宋" w:hAnsi="仿宋" w:eastAsia="仿宋" w:cs="Times New Roman"/>
                <w:sz w:val="21"/>
                <w:szCs w:val="21"/>
                <w:highlight w:val="none"/>
                <w:lang w:val="en-US" w:bidi="ar-SA"/>
              </w:rPr>
              <w:t xml:space="preserve">，</w:t>
            </w:r>
            <w:r>
              <w:rPr>
                <w:rFonts w:hint="eastAsia" w:ascii="仿宋" w:hAnsi="仿宋" w:eastAsia="仿宋" w:cs="Times New Roman"/>
                <w:sz w:val="21"/>
                <w:szCs w:val="21"/>
                <w:highlight w:val="none"/>
                <w:lang w:val="en-US" w:eastAsia="zh-CN" w:bidi="ar-SA"/>
              </w:rPr>
              <w:t xml:space="preserve">具备256排CT培训证书工程师</w:t>
            </w:r>
            <w:r>
              <w:rPr>
                <w:rFonts w:hint="eastAsia" w:ascii="仿宋" w:hAnsi="仿宋" w:eastAsia="仿宋" w:cs="Times New Roman"/>
                <w:sz w:val="21"/>
                <w:szCs w:val="21"/>
                <w:highlight w:val="none"/>
                <w:lang w:val="en-US" w:bidi="ar-SA"/>
              </w:rPr>
              <w:t xml:space="preserve">每提供1个得1分，满分</w:t>
            </w:r>
            <w:r>
              <w:rPr>
                <w:rFonts w:hint="eastAsia" w:ascii="仿宋" w:hAnsi="仿宋" w:eastAsia="仿宋" w:cs="Times New Roman"/>
                <w:sz w:val="21"/>
                <w:szCs w:val="21"/>
                <w:highlight w:val="none"/>
                <w:lang w:val="en-US" w:eastAsia="zh-CN" w:bidi="ar-SA"/>
              </w:rPr>
              <w:t xml:space="preserve">3</w:t>
            </w:r>
            <w:r>
              <w:rPr>
                <w:rFonts w:hint="eastAsia" w:ascii="仿宋" w:hAnsi="仿宋" w:eastAsia="仿宋" w:cs="Times New Roman"/>
                <w:sz w:val="21"/>
                <w:szCs w:val="21"/>
                <w:highlight w:val="none"/>
                <w:lang w:val="en-US" w:bidi="ar-SA"/>
              </w:rPr>
              <w:t xml:space="preserve">分。</w:t>
            </w:r>
            <w:r>
              <w:rPr>
                <w:rFonts w:hint="eastAsia" w:ascii="仿宋" w:hAnsi="仿宋" w:eastAsia="仿宋" w:cs="Times New Roman"/>
                <w:sz w:val="21"/>
                <w:szCs w:val="21"/>
                <w:highlight w:val="none"/>
                <w:lang w:val="en-US" w:eastAsia="zh-CN" w:bidi="ar-SA"/>
              </w:rPr>
              <w:t xml:space="preserve">具备64排CT培训证书工程师</w:t>
            </w:r>
            <w:r>
              <w:rPr>
                <w:rFonts w:hint="eastAsia" w:ascii="仿宋" w:hAnsi="仿宋" w:eastAsia="仿宋" w:cs="Times New Roman"/>
                <w:sz w:val="21"/>
                <w:szCs w:val="21"/>
                <w:highlight w:val="none"/>
                <w:lang w:val="en-US" w:bidi="ar-SA"/>
              </w:rPr>
              <w:t xml:space="preserve">每提供1个得1分，满分</w:t>
            </w:r>
            <w:r>
              <w:rPr>
                <w:rFonts w:hint="eastAsia" w:ascii="仿宋" w:hAnsi="仿宋" w:eastAsia="仿宋" w:cs="Times New Roman"/>
                <w:sz w:val="21"/>
                <w:szCs w:val="21"/>
                <w:highlight w:val="none"/>
                <w:lang w:val="en-US" w:eastAsia="zh-CN" w:bidi="ar-SA"/>
              </w:rPr>
              <w:t xml:space="preserve">3</w:t>
            </w:r>
            <w:r>
              <w:rPr>
                <w:rFonts w:hint="eastAsia" w:ascii="仿宋" w:hAnsi="仿宋" w:eastAsia="仿宋" w:cs="Times New Roman"/>
                <w:sz w:val="21"/>
                <w:szCs w:val="21"/>
                <w:highlight w:val="none"/>
                <w:lang w:val="en-US" w:bidi="ar-SA"/>
              </w:rPr>
              <w:t xml:space="preserve">分</w:t>
            </w:r>
            <w:r>
              <w:rPr>
                <w:rFonts w:hint="eastAsia" w:ascii="仿宋" w:hAnsi="仿宋" w:eastAsia="仿宋" w:cs="Times New Roman"/>
                <w:sz w:val="21"/>
                <w:szCs w:val="21"/>
                <w:highlight w:val="none"/>
                <w:lang w:val="en-US" w:eastAsia="zh-CN" w:bidi="ar-SA"/>
              </w:rPr>
              <w:t xml:space="preserve">。合计6分。</w:t>
            </w:r>
            <w:r/>
          </w:p>
          <w:p>
            <w:pPr>
              <w:pStyle w:val="834"/>
              <w:ind w:right="87" w:firstLine="420"/>
              <w:jc w:val="both"/>
              <w:spacing w:before="2" w:line="242" w:lineRule="auto"/>
              <w:rPr>
                <w:rFonts w:hint="eastAsia" w:ascii="仿宋" w:hAnsi="仿宋" w:eastAsia="仿宋" w:cs="Times New Roman"/>
                <w:sz w:val="21"/>
                <w:szCs w:val="21"/>
                <w:highlight w:val="none"/>
                <w:lang w:val="en-US" w:bidi="ar-SA"/>
              </w:rPr>
            </w:pPr>
            <w:r>
              <w:rPr>
                <w:rFonts w:hint="eastAsia" w:ascii="仿宋" w:hAnsi="仿宋" w:eastAsia="仿宋" w:cs="Times New Roman"/>
                <w:sz w:val="21"/>
                <w:szCs w:val="21"/>
                <w:highlight w:val="none"/>
                <w:lang w:val="en-US" w:bidi="ar-SA"/>
              </w:rPr>
              <w:t xml:space="preserve">备注：1）ISO系列证书需提供证书复印件、</w:t>
            </w:r>
            <w:r>
              <w:rPr>
                <w:rFonts w:hint="eastAsia" w:ascii="仿宋" w:hAnsi="仿宋" w:eastAsia="仿宋" w:cs="Times New Roman"/>
                <w:sz w:val="21"/>
                <w:szCs w:val="21"/>
                <w:highlight w:val="none"/>
                <w:lang w:val="en-US" w:eastAsia="zh-CN" w:bidi="ar-SA"/>
              </w:rPr>
              <w:t xml:space="preserve">扫描件</w:t>
            </w:r>
            <w:r>
              <w:rPr>
                <w:rFonts w:hint="eastAsia" w:ascii="仿宋" w:hAnsi="仿宋" w:eastAsia="仿宋" w:cs="Times New Roman"/>
                <w:sz w:val="21"/>
                <w:szCs w:val="21"/>
                <w:highlight w:val="none"/>
                <w:lang w:val="en-US" w:bidi="ar-SA"/>
              </w:rPr>
              <w:t xml:space="preserve">或“全国认证认可信息公共服务平台”查询截图</w:t>
            </w:r>
            <w:r>
              <w:rPr>
                <w:rFonts w:hint="eastAsia" w:ascii="仿宋" w:hAnsi="仿宋" w:eastAsia="仿宋" w:cs="Times New Roman"/>
                <w:sz w:val="21"/>
                <w:szCs w:val="21"/>
                <w:highlight w:val="none"/>
                <w:lang w:val="en-US" w:eastAsia="zh-CN" w:bidi="ar-SA"/>
              </w:rPr>
              <w:t xml:space="preserve">，</w:t>
            </w:r>
            <w:r>
              <w:rPr>
                <w:rFonts w:hint="eastAsia" w:ascii="仿宋" w:hAnsi="仿宋" w:eastAsia="仿宋" w:cs="Times New Roman"/>
                <w:sz w:val="21"/>
                <w:szCs w:val="21"/>
                <w:highlight w:val="none"/>
                <w:lang w:val="en-US" w:bidi="ar-SA"/>
              </w:rPr>
              <w:t xml:space="preserve">加盖投标单位公章且在有效期内。</w:t>
            </w:r>
            <w:r/>
          </w:p>
          <w:p>
            <w:pPr>
              <w:ind w:firstLine="630"/>
              <w:jc w:val="left"/>
              <w:spacing w:line="360" w:lineRule="exact"/>
              <w:rPr>
                <w:rFonts w:ascii="仿宋" w:hAnsi="仿宋" w:eastAsia="仿宋"/>
                <w:szCs w:val="21"/>
                <w:highlight w:val="none"/>
              </w:rPr>
            </w:pPr>
            <w:r>
              <w:rPr>
                <w:rFonts w:hint="eastAsia" w:ascii="仿宋" w:hAnsi="仿宋" w:eastAsia="仿宋"/>
                <w:szCs w:val="21"/>
                <w:highlight w:val="none"/>
              </w:rPr>
              <w:t xml:space="preserve">2）</w:t>
            </w:r>
            <w:r>
              <w:rPr>
                <w:rFonts w:ascii="仿宋" w:hAnsi="仿宋" w:eastAsia="仿宋"/>
                <w:szCs w:val="21"/>
                <w:highlight w:val="none"/>
              </w:rPr>
              <w:t xml:space="preserve">如投标人为设备制造商本次维保设备的授权经销商，也可提供设备制造商资质证明。</w:t>
            </w:r>
            <w:r/>
          </w:p>
        </w:tc>
      </w:tr>
      <w:tr>
        <w:trPr>
          <w:trHeight w:val="1075"/>
        </w:trPr>
        <w:tc>
          <w:tcPr>
            <w:tcBorders>
              <w:left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四</w:t>
            </w:r>
            <w:r/>
          </w:p>
        </w:tc>
        <w:tc>
          <w:tcPr>
            <w:tcBorders>
              <w:left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售后服务</w:t>
            </w:r>
            <w:r/>
          </w:p>
        </w:tc>
        <w:tc>
          <w:tcPr>
            <w:tcBorders>
              <w:top w:val="single" w:color="auto" w:sz="4" w:space="0"/>
              <w:left w:val="single" w:color="auto" w:sz="4" w:space="0"/>
              <w:right w:val="single" w:color="auto" w:sz="4" w:space="0"/>
            </w:tcBorders>
            <w:tcW w:w="925" w:type="dxa"/>
            <w:vAlign w:val="center"/>
            <w:textDirection w:val="lrTb"/>
            <w:noWrap w:val="false"/>
          </w:tcPr>
          <w:p>
            <w:pPr>
              <w:jc w:val="center"/>
              <w:spacing w:line="360" w:lineRule="exact"/>
              <w:rPr>
                <w:rFonts w:hint="default" w:ascii="仿宋" w:hAnsi="仿宋" w:eastAsia="仿宋"/>
                <w:szCs w:val="21"/>
                <w:highlight w:val="none"/>
                <w:lang w:val="en-US" w:eastAsia="zh-CN"/>
              </w:rPr>
            </w:pPr>
            <w:r>
              <w:rPr>
                <w:rFonts w:hint="eastAsia" w:ascii="仿宋" w:hAnsi="仿宋" w:eastAsia="仿宋"/>
                <w:szCs w:val="21"/>
                <w:highlight w:val="none"/>
                <w:lang w:val="en-US" w:eastAsia="zh-CN"/>
              </w:rPr>
              <w:t xml:space="preserve">16</w:t>
            </w:r>
            <w:r/>
          </w:p>
        </w:tc>
        <w:tc>
          <w:tcPr>
            <w:tcBorders>
              <w:top w:val="single" w:color="auto" w:sz="4" w:space="0"/>
              <w:left w:val="single" w:color="auto" w:sz="4" w:space="0"/>
              <w:right w:val="single" w:color="auto" w:sz="4" w:space="0"/>
            </w:tcBorders>
            <w:tcW w:w="6942" w:type="dxa"/>
            <w:vAlign w:val="center"/>
            <w:textDirection w:val="lrTb"/>
            <w:noWrap w:val="false"/>
          </w:tcPr>
          <w:p>
            <w:pPr>
              <w:ind w:firstLine="420"/>
              <w:jc w:val="left"/>
              <w:spacing w:line="360" w:lineRule="exact"/>
              <w:rPr>
                <w:rFonts w:ascii="仿宋" w:hAnsi="仿宋" w:eastAsia="仿宋"/>
                <w:szCs w:val="21"/>
                <w:highlight w:val="none"/>
              </w:rPr>
            </w:pPr>
            <w:r>
              <w:rPr>
                <w:rFonts w:hint="eastAsia" w:ascii="仿宋" w:hAnsi="仿宋" w:eastAsia="仿宋"/>
                <w:szCs w:val="21"/>
                <w:highlight w:val="none"/>
              </w:rPr>
              <w:t xml:space="preserve">1.开机率不低于9</w:t>
            </w:r>
            <w:r>
              <w:rPr>
                <w:rFonts w:hint="eastAsia" w:ascii="仿宋" w:hAnsi="仿宋" w:eastAsia="仿宋"/>
                <w:szCs w:val="21"/>
                <w:highlight w:val="none"/>
                <w:lang w:val="en-US" w:eastAsia="zh-CN"/>
              </w:rPr>
              <w:t xml:space="preserve">7</w:t>
            </w:r>
            <w:r>
              <w:rPr>
                <w:rFonts w:hint="eastAsia" w:ascii="仿宋" w:hAnsi="仿宋" w:eastAsia="仿宋"/>
                <w:szCs w:val="21"/>
                <w:highlight w:val="none"/>
              </w:rPr>
              <w:t xml:space="preserve">%，按全年365天计算，</w:t>
            </w:r>
            <w:r>
              <w:rPr>
                <w:rFonts w:hint="eastAsia" w:ascii="仿宋" w:hAnsi="仿宋" w:eastAsia="仿宋" w:cs="Times New Roman"/>
                <w:szCs w:val="21"/>
                <w:highlight w:val="none"/>
              </w:rPr>
              <w:t xml:space="preserve">每年设备的停机时间不得超过1</w:t>
            </w:r>
            <w:r>
              <w:rPr>
                <w:rFonts w:hint="eastAsia" w:ascii="仿宋" w:hAnsi="仿宋" w:eastAsia="仿宋" w:cs="Times New Roman"/>
                <w:szCs w:val="21"/>
                <w:highlight w:val="none"/>
                <w:lang w:val="en-US" w:eastAsia="zh-CN"/>
              </w:rPr>
              <w:t xml:space="preserve">1</w:t>
            </w:r>
            <w:r>
              <w:rPr>
                <w:rFonts w:hint="eastAsia" w:ascii="仿宋" w:hAnsi="仿宋" w:eastAsia="仿宋" w:cs="Times New Roman"/>
                <w:szCs w:val="21"/>
                <w:highlight w:val="none"/>
              </w:rPr>
              <w:t xml:space="preserve">天</w:t>
            </w:r>
            <w:r>
              <w:rPr>
                <w:rFonts w:hint="eastAsia" w:ascii="仿宋" w:hAnsi="仿宋" w:eastAsia="仿宋" w:cs="Times New Roman"/>
                <w:szCs w:val="21"/>
                <w:highlight w:val="none"/>
                <w:lang w:eastAsia="zh-CN"/>
              </w:rPr>
              <w:t xml:space="preserve">。</w:t>
            </w:r>
            <w:r>
              <w:rPr>
                <w:rFonts w:hint="eastAsia" w:ascii="仿宋" w:hAnsi="仿宋" w:eastAsia="仿宋"/>
                <w:szCs w:val="21"/>
                <w:highlight w:val="none"/>
              </w:rPr>
              <w:t xml:space="preserve">设备停机超过1天，维保期延期1周的得2分，延期2周及以上的得</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分。</w:t>
            </w:r>
            <w:r/>
          </w:p>
          <w:p>
            <w:pPr>
              <w:ind w:firstLine="420"/>
              <w:jc w:val="left"/>
              <w:spacing w:line="360" w:lineRule="exact"/>
              <w:rPr>
                <w:rFonts w:ascii="仿宋" w:hAnsi="仿宋" w:eastAsia="仿宋"/>
                <w:szCs w:val="21"/>
                <w:highlight w:val="none"/>
              </w:rPr>
            </w:pPr>
            <w:r>
              <w:rPr>
                <w:rFonts w:hint="eastAsia" w:ascii="仿宋" w:hAnsi="仿宋" w:eastAsia="仿宋"/>
                <w:szCs w:val="21"/>
                <w:highlight w:val="none"/>
              </w:rPr>
              <w:t xml:space="preserve">2.维修响应时间：</w:t>
            </w:r>
            <w:r>
              <w:rPr>
                <w:rFonts w:hint="eastAsia" w:ascii="仿宋" w:hAnsi="仿宋" w:eastAsia="仿宋"/>
                <w:szCs w:val="21"/>
                <w:highlight w:val="none"/>
                <w:lang w:val="en-US" w:eastAsia="zh-CN"/>
              </w:rPr>
              <w:t xml:space="preserve">故障</w:t>
            </w:r>
            <w:r>
              <w:rPr>
                <w:rFonts w:hint="eastAsia" w:ascii="仿宋" w:hAnsi="仿宋" w:eastAsia="仿宋"/>
                <w:szCs w:val="21"/>
                <w:highlight w:val="none"/>
              </w:rPr>
              <w:t xml:space="preserve">报修后</w:t>
            </w:r>
            <w:r>
              <w:rPr>
                <w:rFonts w:hint="eastAsia" w:ascii="仿宋" w:hAnsi="仿宋" w:eastAsia="仿宋"/>
                <w:szCs w:val="21"/>
                <w:highlight w:val="none"/>
                <w:lang w:val="en-US" w:eastAsia="zh-CN"/>
              </w:rPr>
              <w:t xml:space="preserve">1</w:t>
            </w:r>
            <w:r>
              <w:rPr>
                <w:rFonts w:hint="eastAsia" w:ascii="仿宋" w:hAnsi="仿宋" w:eastAsia="仿宋"/>
                <w:szCs w:val="21"/>
                <w:highlight w:val="none"/>
              </w:rPr>
              <w:t xml:space="preserve">小时内响应，如需现场服务，自判定需要现场服务后</w:t>
            </w:r>
            <w:r>
              <w:rPr>
                <w:rFonts w:hint="eastAsia" w:ascii="仿宋" w:hAnsi="仿宋" w:eastAsia="仿宋"/>
                <w:szCs w:val="21"/>
                <w:highlight w:val="none"/>
                <w:lang w:val="en-US" w:eastAsia="zh-CN"/>
              </w:rPr>
              <w:t xml:space="preserve">6</w:t>
            </w:r>
            <w:r>
              <w:rPr>
                <w:rFonts w:hint="eastAsia" w:ascii="仿宋" w:hAnsi="仿宋" w:eastAsia="仿宋"/>
                <w:szCs w:val="21"/>
                <w:highlight w:val="none"/>
              </w:rPr>
              <w:t xml:space="preserve">小时内工程师到达现场的得</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分，超过</w:t>
            </w:r>
            <w:r>
              <w:rPr>
                <w:rFonts w:hint="eastAsia" w:ascii="仿宋" w:hAnsi="仿宋" w:eastAsia="仿宋"/>
                <w:szCs w:val="21"/>
                <w:highlight w:val="none"/>
                <w:lang w:val="en-US" w:eastAsia="zh-CN"/>
              </w:rPr>
              <w:t xml:space="preserve">6</w:t>
            </w:r>
            <w:r>
              <w:rPr>
                <w:rFonts w:hint="eastAsia" w:ascii="仿宋" w:hAnsi="仿宋" w:eastAsia="仿宋"/>
                <w:szCs w:val="21"/>
                <w:highlight w:val="none"/>
              </w:rPr>
              <w:t xml:space="preserve">小时</w:t>
            </w:r>
            <w:r>
              <w:rPr>
                <w:rFonts w:hint="eastAsia" w:ascii="仿宋" w:hAnsi="仿宋" w:eastAsia="仿宋"/>
                <w:szCs w:val="21"/>
                <w:highlight w:val="none"/>
                <w:lang w:val="en-US" w:eastAsia="zh-CN"/>
              </w:rPr>
              <w:t xml:space="preserve">且不超过12小时</w:t>
            </w:r>
            <w:r>
              <w:rPr>
                <w:rFonts w:hint="eastAsia" w:ascii="仿宋" w:hAnsi="仿宋" w:eastAsia="仿宋"/>
                <w:szCs w:val="21"/>
                <w:highlight w:val="none"/>
              </w:rPr>
              <w:t xml:space="preserve">到达现场的得</w:t>
            </w:r>
            <w:r>
              <w:rPr>
                <w:rFonts w:hint="eastAsia" w:ascii="仿宋" w:hAnsi="仿宋" w:eastAsia="仿宋"/>
                <w:szCs w:val="21"/>
                <w:highlight w:val="none"/>
                <w:lang w:val="en-US" w:eastAsia="zh-CN"/>
              </w:rPr>
              <w:t xml:space="preserve">2</w:t>
            </w:r>
            <w:r>
              <w:rPr>
                <w:rFonts w:hint="eastAsia" w:ascii="仿宋" w:hAnsi="仿宋" w:eastAsia="仿宋"/>
                <w:szCs w:val="21"/>
                <w:highlight w:val="none"/>
              </w:rPr>
              <w:t xml:space="preserve">分，超过</w:t>
            </w:r>
            <w:r>
              <w:rPr>
                <w:rFonts w:hint="eastAsia" w:ascii="仿宋" w:hAnsi="仿宋" w:eastAsia="仿宋"/>
                <w:szCs w:val="21"/>
                <w:highlight w:val="none"/>
                <w:lang w:val="en-US" w:eastAsia="zh-CN"/>
              </w:rPr>
              <w:t xml:space="preserve">12</w:t>
            </w:r>
            <w:r>
              <w:rPr>
                <w:rFonts w:hint="eastAsia" w:ascii="仿宋" w:hAnsi="仿宋" w:eastAsia="仿宋"/>
                <w:szCs w:val="21"/>
                <w:highlight w:val="none"/>
              </w:rPr>
              <w:t xml:space="preserve">小时到达现场的得1分；如判定需要更换备件，自故障判定后24小时内完成备件到达医院并进行维修的得</w:t>
            </w:r>
            <w:r>
              <w:rPr>
                <w:rFonts w:hint="eastAsia" w:ascii="仿宋" w:hAnsi="仿宋" w:eastAsia="仿宋"/>
                <w:szCs w:val="21"/>
                <w:highlight w:val="none"/>
                <w:lang w:val="en-US" w:eastAsia="zh-CN"/>
              </w:rPr>
              <w:t xml:space="preserve">4</w:t>
            </w:r>
            <w:r>
              <w:rPr>
                <w:rFonts w:hint="eastAsia" w:ascii="仿宋" w:hAnsi="仿宋" w:eastAsia="仿宋"/>
                <w:szCs w:val="21"/>
                <w:highlight w:val="none"/>
              </w:rPr>
              <w:t xml:space="preserve">分，超过24小时的得</w:t>
            </w:r>
            <w:r>
              <w:rPr>
                <w:rFonts w:hint="eastAsia" w:ascii="仿宋" w:hAnsi="仿宋" w:eastAsia="仿宋"/>
                <w:szCs w:val="21"/>
                <w:highlight w:val="none"/>
                <w:lang w:val="en-US" w:eastAsia="zh-CN"/>
              </w:rPr>
              <w:t xml:space="preserve">2</w:t>
            </w:r>
            <w:r>
              <w:rPr>
                <w:rFonts w:hint="eastAsia" w:ascii="仿宋" w:hAnsi="仿宋" w:eastAsia="仿宋"/>
                <w:szCs w:val="21"/>
                <w:highlight w:val="none"/>
              </w:rPr>
              <w:t xml:space="preserve">分，超过48小时的不得分。</w:t>
            </w:r>
            <w:r/>
          </w:p>
          <w:p>
            <w:pPr>
              <w:ind w:firstLine="420"/>
              <w:jc w:val="left"/>
              <w:spacing w:line="360" w:lineRule="exact"/>
              <w:rPr>
                <w:rFonts w:ascii="仿宋" w:hAnsi="仿宋" w:eastAsia="仿宋"/>
                <w:szCs w:val="21"/>
                <w:highlight w:val="none"/>
              </w:rPr>
            </w:pPr>
            <w:r>
              <w:rPr>
                <w:rFonts w:hint="eastAsia" w:ascii="仿宋" w:hAnsi="仿宋" w:eastAsia="仿宋"/>
                <w:szCs w:val="21"/>
                <w:highlight w:val="none"/>
              </w:rPr>
            </w:r>
            <w:r>
              <w:rPr>
                <w:rFonts w:hint="eastAsia" w:ascii="仿宋" w:hAnsi="仿宋" w:eastAsia="仿宋"/>
                <w:szCs w:val="21"/>
                <w:highlight w:val="none"/>
              </w:rPr>
              <w:t xml:space="preserve">3.拟派服务人员中，投标人提供的工程师具有有效期内的CT培训合格证书，并提供在职证明（提供社保证明）。具备256排CT培训证书工程师每提供1个得1分，满分3分。具备64排CT培训证书工程师每提供1个得1分，满分3分。合计6分。</w:t>
            </w:r>
            <w:r>
              <w:rPr>
                <w:rFonts w:hint="eastAsia" w:ascii="仿宋" w:hAnsi="仿宋" w:eastAsia="仿宋"/>
                <w:szCs w:val="21"/>
                <w:highlight w:val="none"/>
              </w:rPr>
            </w:r>
            <w:r/>
          </w:p>
          <w:p>
            <w:pPr>
              <w:jc w:val="left"/>
              <w:spacing w:line="360" w:lineRule="exact"/>
              <w:rPr>
                <w:rFonts w:ascii="仿宋" w:hAnsi="仿宋" w:eastAsia="仿宋"/>
                <w:szCs w:val="21"/>
                <w:highlight w:val="none"/>
              </w:rPr>
            </w:pPr>
            <w:r>
              <w:rPr>
                <w:rFonts w:hint="eastAsia" w:ascii="仿宋" w:hAnsi="仿宋" w:eastAsia="仿宋"/>
                <w:szCs w:val="21"/>
                <w:highlight w:val="none"/>
              </w:rPr>
              <w:t xml:space="preserve">备注：1）质量保证期以“商务条款响应及偏离表”为依据。</w:t>
            </w:r>
            <w:r/>
          </w:p>
          <w:p>
            <w:pPr>
              <w:ind w:firstLine="630"/>
              <w:jc w:val="left"/>
              <w:spacing w:line="360" w:lineRule="exact"/>
              <w:rPr>
                <w:rFonts w:ascii="仿宋" w:hAnsi="仿宋" w:eastAsia="仿宋"/>
                <w:szCs w:val="21"/>
                <w:highlight w:val="none"/>
              </w:rPr>
            </w:pPr>
            <w:r>
              <w:rPr>
                <w:rFonts w:hint="eastAsia" w:ascii="仿宋" w:hAnsi="仿宋" w:eastAsia="仿宋"/>
                <w:szCs w:val="21"/>
                <w:highlight w:val="none"/>
              </w:rPr>
              <w:t xml:space="preserve">2）提供售后服务点与采购人地址之间带时长显示的导航软件界面截图。（中标后提供制造商针对该售后服务点的授权证明或说明，无法提供的视为提供虚假材料谋取中标）</w:t>
            </w:r>
            <w:r/>
          </w:p>
        </w:tc>
      </w:tr>
      <w:tr>
        <w:trPr>
          <w:trHeight w:val="1075"/>
        </w:trPr>
        <w:tc>
          <w:tcPr>
            <w:tcBorders>
              <w:left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五</w:t>
            </w:r>
            <w:r/>
          </w:p>
        </w:tc>
        <w:tc>
          <w:tcPr>
            <w:tcBorders>
              <w:left w:val="single" w:color="auto" w:sz="4" w:space="0"/>
              <w:right w:val="single" w:color="auto" w:sz="4" w:space="0"/>
            </w:tcBorders>
            <w:tcW w:w="717"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业绩</w:t>
            </w:r>
            <w:r/>
          </w:p>
        </w:tc>
        <w:tc>
          <w:tcPr>
            <w:tcBorders>
              <w:top w:val="single" w:color="auto" w:sz="4" w:space="0"/>
              <w:left w:val="single" w:color="auto" w:sz="4" w:space="0"/>
              <w:bottom w:val="single" w:color="auto" w:sz="4" w:space="0"/>
              <w:right w:val="single" w:color="auto" w:sz="4" w:space="0"/>
            </w:tcBorders>
            <w:tcW w:w="925" w:type="dxa"/>
            <w:vAlign w:val="center"/>
            <w:textDirection w:val="lrTb"/>
            <w:noWrap w:val="false"/>
          </w:tcPr>
          <w:p>
            <w:pPr>
              <w:jc w:val="center"/>
              <w:spacing w:line="360" w:lineRule="exact"/>
              <w:rPr>
                <w:rFonts w:ascii="仿宋" w:hAnsi="仿宋" w:eastAsia="仿宋"/>
                <w:szCs w:val="21"/>
                <w:highlight w:val="none"/>
              </w:rPr>
            </w:pPr>
            <w:r>
              <w:rPr>
                <w:rFonts w:hint="eastAsia" w:ascii="仿宋" w:hAnsi="仿宋" w:eastAsia="仿宋"/>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6942" w:type="dxa"/>
            <w:vAlign w:val="center"/>
            <w:textDirection w:val="lrTb"/>
            <w:noWrap w:val="false"/>
          </w:tcPr>
          <w:p>
            <w:pPr>
              <w:ind w:firstLine="420"/>
              <w:jc w:val="left"/>
              <w:spacing w:line="360" w:lineRule="exact"/>
            </w:pPr>
            <w:r>
              <w:rPr>
                <w:rFonts w:hint="eastAsia" w:ascii="仿宋" w:hAnsi="仿宋" w:eastAsia="仿宋"/>
                <w:szCs w:val="21"/>
                <w:highlight w:val="none"/>
              </w:rPr>
            </w:r>
            <w:r>
              <w:rPr>
                <w:rFonts w:ascii="FangSong" w:hAnsi="FangSong" w:eastAsia="FangSong" w:cs="FangSong"/>
                <w:color w:val="000000"/>
                <w:sz w:val="21"/>
              </w:rPr>
              <w:t xml:space="preserve">提供开标时间前两年以来（以合同签订时间为准）类似设备(包含256排CT或64排CT)CT售后全保业绩合同，每提供一份得1分。 256排CT合同最多的6分，64排CT合同最多得6分，合计最多得12分。</w:t>
            </w:r>
            <w:r>
              <w:rPr>
                <w:rFonts w:hint="eastAsia" w:ascii="仿宋" w:hAnsi="仿宋" w:eastAsia="仿宋"/>
                <w:szCs w:val="21"/>
                <w:highlight w:val="none"/>
              </w:rPr>
            </w:r>
            <w:r/>
          </w:p>
          <w:p>
            <w:pPr>
              <w:ind w:firstLine="420"/>
              <w:jc w:val="left"/>
              <w:spacing w:line="360" w:lineRule="exact"/>
              <w:rPr>
                <w:rFonts w:ascii="仿宋" w:hAnsi="仿宋" w:eastAsia="仿宋"/>
                <w:szCs w:val="21"/>
                <w:highlight w:val="none"/>
              </w:rPr>
            </w:pPr>
            <w:r>
              <w:rPr>
                <w:rFonts w:hint="eastAsia" w:ascii="仿宋" w:hAnsi="仿宋" w:eastAsia="仿宋"/>
                <w:szCs w:val="21"/>
                <w:highlight w:val="none"/>
              </w:rPr>
              <w:t xml:space="preserve">备注：</w:t>
            </w:r>
            <w:r>
              <w:rPr>
                <w:rFonts w:ascii="仿宋" w:hAnsi="仿宋" w:eastAsia="仿宋"/>
                <w:szCs w:val="21"/>
                <w:highlight w:val="none"/>
              </w:rPr>
              <w:t xml:space="preserve">业绩需同时提供合同</w:t>
            </w:r>
            <w:r>
              <w:rPr>
                <w:rFonts w:hint="eastAsia" w:ascii="仿宋" w:hAnsi="仿宋" w:eastAsia="仿宋"/>
                <w:szCs w:val="21"/>
                <w:highlight w:val="none"/>
                <w:lang w:val="en-US" w:eastAsia="zh-CN"/>
              </w:rPr>
              <w:t xml:space="preserve">复印件</w:t>
            </w:r>
            <w:r>
              <w:rPr>
                <w:rFonts w:hint="eastAsia" w:ascii="仿宋" w:hAnsi="仿宋" w:eastAsia="仿宋"/>
                <w:szCs w:val="21"/>
                <w:highlight w:val="none"/>
              </w:rPr>
              <w:t xml:space="preserve">和中标通知书</w:t>
            </w:r>
            <w:r>
              <w:rPr>
                <w:rFonts w:hint="eastAsia" w:ascii="仿宋" w:hAnsi="仿宋" w:eastAsia="仿宋"/>
                <w:szCs w:val="21"/>
                <w:highlight w:val="none"/>
                <w:lang w:eastAsia="zh-CN"/>
              </w:rPr>
              <w:t xml:space="preserve">（</w:t>
            </w:r>
            <w:r>
              <w:rPr>
                <w:rFonts w:hint="eastAsia" w:ascii="仿宋" w:hAnsi="仿宋" w:eastAsia="仿宋"/>
                <w:szCs w:val="21"/>
                <w:highlight w:val="none"/>
              </w:rPr>
              <w:t xml:space="preserve">或中标结果公示截图</w:t>
            </w:r>
            <w:r>
              <w:rPr>
                <w:rFonts w:hint="eastAsia" w:ascii="仿宋" w:hAnsi="仿宋" w:eastAsia="仿宋"/>
                <w:szCs w:val="21"/>
                <w:highlight w:val="none"/>
                <w:lang w:eastAsia="zh-CN"/>
              </w:rPr>
              <w:t xml:space="preserve">）</w:t>
            </w:r>
            <w:r>
              <w:rPr>
                <w:rFonts w:hint="eastAsia" w:ascii="仿宋" w:hAnsi="仿宋" w:eastAsia="仿宋"/>
                <w:szCs w:val="21"/>
                <w:highlight w:val="none"/>
              </w:rPr>
              <w:t xml:space="preserve">予以佐证</w:t>
            </w:r>
            <w:r>
              <w:rPr>
                <w:rFonts w:ascii="仿宋" w:hAnsi="仿宋" w:eastAsia="仿宋"/>
                <w:szCs w:val="21"/>
                <w:highlight w:val="none"/>
              </w:rPr>
              <w:t xml:space="preserve">，且不得隐藏关键信息。</w:t>
            </w:r>
            <w:r>
              <w:rPr>
                <w:rFonts w:ascii="仿宋" w:hAnsi="仿宋" w:eastAsia="仿宋"/>
                <w:szCs w:val="21"/>
                <w:highlight w:val="none"/>
              </w:rPr>
              <w:t xml:space="preserve">如投标人为设备制造商本次维保设备的授权经销商，也可提供设备制造商业绩合同。</w:t>
            </w:r>
            <w:r/>
          </w:p>
        </w:tc>
      </w:tr>
      <w:tr>
        <w:trPr>
          <w:trHeight w:val="1075"/>
        </w:trPr>
        <w:tc>
          <w:tcPr>
            <w:tcBorders>
              <w:left w:val="single" w:color="auto" w:sz="4" w:space="0"/>
              <w:right w:val="single" w:color="auto" w:sz="4" w:space="0"/>
            </w:tcBorders>
            <w:tcW w:w="596" w:type="dxa"/>
            <w:vAlign w:val="center"/>
            <w:textDirection w:val="lrTb"/>
            <w:noWrap w:val="false"/>
          </w:tcPr>
          <w:p>
            <w:pPr>
              <w:jc w:val="center"/>
              <w:spacing w:line="360" w:lineRule="exact"/>
              <w:rPr>
                <w:rFonts w:ascii="仿宋" w:hAnsi="仿宋" w:eastAsia="仿宋"/>
                <w:szCs w:val="21"/>
                <w:highlight w:val="none"/>
              </w:rPr>
            </w:pPr>
            <w:r>
              <w:rPr>
                <w:rFonts w:ascii="仿宋" w:hAnsi="仿宋" w:eastAsia="仿宋"/>
                <w:szCs w:val="21"/>
                <w:highlight w:val="none"/>
              </w:rPr>
            </w:r>
            <w:r/>
          </w:p>
          <w:p>
            <w:pPr>
              <w:jc w:val="center"/>
              <w:spacing w:line="360" w:lineRule="exact"/>
              <w:rPr>
                <w:rFonts w:hint="eastAsia" w:ascii="仿宋" w:hAnsi="仿宋" w:eastAsia="仿宋"/>
                <w:szCs w:val="21"/>
                <w:highlight w:val="none"/>
                <w:lang w:eastAsia="zh-CN"/>
              </w:rPr>
            </w:pPr>
            <w:r>
              <w:rPr>
                <w:rFonts w:hint="eastAsia" w:ascii="仿宋" w:hAnsi="仿宋" w:eastAsia="仿宋"/>
                <w:szCs w:val="21"/>
                <w:highlight w:val="none"/>
                <w:lang w:val="en-US" w:eastAsia="zh-CN"/>
              </w:rPr>
              <w:t xml:space="preserve">六</w:t>
            </w:r>
            <w:r/>
          </w:p>
        </w:tc>
        <w:tc>
          <w:tcPr>
            <w:tcBorders>
              <w:left w:val="single" w:color="auto" w:sz="4" w:space="0"/>
              <w:right w:val="single" w:color="auto" w:sz="4" w:space="0"/>
            </w:tcBorders>
            <w:tcW w:w="717" w:type="dxa"/>
            <w:vAlign w:val="top"/>
            <w:textDirection w:val="lrTb"/>
            <w:noWrap w:val="false"/>
          </w:tcPr>
          <w:p>
            <w:pPr>
              <w:jc w:val="left"/>
              <w:spacing w:line="360" w:lineRule="exact"/>
              <w:rPr>
                <w:rFonts w:ascii="仿宋" w:hAnsi="仿宋" w:eastAsia="仿宋"/>
                <w:szCs w:val="21"/>
                <w:highlight w:val="none"/>
              </w:rPr>
            </w:pPr>
            <w:r>
              <w:rPr>
                <w:rFonts w:ascii="仿宋" w:hAnsi="仿宋" w:eastAsia="仿宋"/>
                <w:szCs w:val="21"/>
                <w:highlight w:val="none"/>
              </w:rPr>
            </w:r>
            <w:r/>
          </w:p>
          <w:p>
            <w:pPr>
              <w:jc w:val="left"/>
              <w:spacing w:line="360" w:lineRule="exact"/>
              <w:rPr>
                <w:rFonts w:ascii="仿宋" w:hAnsi="仿宋" w:eastAsia="仿宋"/>
                <w:szCs w:val="21"/>
                <w:highlight w:val="none"/>
              </w:rPr>
            </w:pPr>
            <w:r>
              <w:rPr>
                <w:rFonts w:ascii="仿宋" w:hAnsi="仿宋" w:eastAsia="仿宋"/>
                <w:szCs w:val="21"/>
                <w:highlight w:val="none"/>
              </w:rPr>
            </w:r>
            <w:r/>
          </w:p>
          <w:p>
            <w:pPr>
              <w:jc w:val="left"/>
              <w:spacing w:line="360" w:lineRule="exact"/>
              <w:rPr>
                <w:rFonts w:ascii="仿宋" w:hAnsi="仿宋" w:eastAsia="仿宋"/>
                <w:szCs w:val="21"/>
                <w:highlight w:val="none"/>
              </w:rPr>
            </w:pPr>
            <w:r>
              <w:rPr>
                <w:rFonts w:ascii="仿宋" w:hAnsi="仿宋" w:eastAsia="仿宋"/>
                <w:szCs w:val="21"/>
                <w:highlight w:val="none"/>
              </w:rPr>
            </w:r>
            <w:r/>
          </w:p>
          <w:p>
            <w:pPr>
              <w:jc w:val="left"/>
              <w:spacing w:line="360" w:lineRule="exact"/>
              <w:rPr>
                <w:rFonts w:hint="eastAsia" w:ascii="仿宋" w:hAnsi="仿宋" w:eastAsia="仿宋"/>
                <w:szCs w:val="21"/>
                <w:highlight w:val="none"/>
              </w:rPr>
            </w:pPr>
            <w:r>
              <w:rPr>
                <w:rFonts w:hint="eastAsia" w:ascii="仿宋" w:hAnsi="仿宋" w:eastAsia="仿宋"/>
                <w:szCs w:val="21"/>
                <w:highlight w:val="none"/>
              </w:rPr>
              <w:t xml:space="preserve">技术服务</w:t>
            </w:r>
            <w:r/>
          </w:p>
        </w:tc>
        <w:tc>
          <w:tcPr>
            <w:tcBorders>
              <w:top w:val="single" w:color="auto" w:sz="4" w:space="0"/>
              <w:left w:val="single" w:color="auto" w:sz="4" w:space="0"/>
              <w:bottom w:val="single" w:color="auto" w:sz="4" w:space="0"/>
              <w:right w:val="single" w:color="auto" w:sz="4" w:space="0"/>
            </w:tcBorders>
            <w:tcW w:w="925" w:type="dxa"/>
            <w:vAlign w:val="top"/>
            <w:textDirection w:val="lrTb"/>
            <w:noWrap w:val="false"/>
          </w:tcPr>
          <w:p>
            <w:pPr>
              <w:jc w:val="left"/>
              <w:spacing w:line="360" w:lineRule="exact"/>
              <w:rPr>
                <w:rFonts w:ascii="仿宋" w:hAnsi="仿宋" w:eastAsia="仿宋"/>
                <w:szCs w:val="21"/>
                <w:highlight w:val="none"/>
              </w:rPr>
            </w:pPr>
            <w:r>
              <w:rPr>
                <w:rFonts w:ascii="仿宋" w:hAnsi="仿宋" w:eastAsia="仿宋"/>
                <w:szCs w:val="21"/>
                <w:highlight w:val="none"/>
              </w:rPr>
            </w:r>
            <w:r/>
          </w:p>
          <w:p>
            <w:pPr>
              <w:jc w:val="left"/>
              <w:spacing w:line="360" w:lineRule="exact"/>
              <w:rPr>
                <w:rFonts w:ascii="仿宋" w:hAnsi="仿宋" w:eastAsia="仿宋"/>
                <w:szCs w:val="21"/>
                <w:highlight w:val="none"/>
              </w:rPr>
            </w:pPr>
            <w:r>
              <w:rPr>
                <w:rFonts w:ascii="仿宋" w:hAnsi="仿宋" w:eastAsia="仿宋"/>
                <w:szCs w:val="21"/>
                <w:highlight w:val="none"/>
              </w:rPr>
            </w:r>
            <w:r/>
          </w:p>
          <w:p>
            <w:pPr>
              <w:jc w:val="left"/>
              <w:spacing w:line="360" w:lineRule="exact"/>
              <w:rPr>
                <w:rFonts w:ascii="仿宋" w:hAnsi="仿宋" w:eastAsia="仿宋"/>
                <w:szCs w:val="21"/>
                <w:highlight w:val="none"/>
              </w:rPr>
            </w:pPr>
            <w:r>
              <w:rPr>
                <w:rFonts w:ascii="仿宋" w:hAnsi="仿宋" w:eastAsia="仿宋"/>
                <w:szCs w:val="21"/>
                <w:highlight w:val="none"/>
              </w:rPr>
            </w:r>
            <w:r/>
          </w:p>
          <w:p>
            <w:pPr>
              <w:jc w:val="center"/>
              <w:spacing w:line="360" w:lineRule="exact"/>
              <w:rPr>
                <w:rFonts w:hint="eastAsia" w:ascii="仿宋" w:hAnsi="仿宋" w:eastAsia="仿宋"/>
                <w:szCs w:val="21"/>
                <w:highlight w:val="none"/>
              </w:rPr>
            </w:pPr>
            <w:r>
              <w:rPr>
                <w:rFonts w:hint="eastAsia" w:ascii="仿宋" w:hAnsi="仿宋" w:eastAsia="仿宋"/>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6942" w:type="dxa"/>
            <w:vAlign w:val="top"/>
            <w:textDirection w:val="lrTb"/>
            <w:noWrap w:val="false"/>
          </w:tcPr>
          <w:p>
            <w:pPr>
              <w:ind w:firstLine="420"/>
              <w:spacing w:line="240" w:lineRule="auto"/>
              <w:widowControl/>
              <w:rPr>
                <w:rFonts w:hint="eastAsia" w:ascii="宋体" w:hAnsi="宋体" w:cs="宋体"/>
                <w:b/>
                <w:bCs/>
                <w:color w:val="auto"/>
                <w:sz w:val="21"/>
                <w:szCs w:val="21"/>
                <w:highlight w:val="none"/>
              </w:rPr>
            </w:pPr>
            <w:r>
              <w:rPr>
                <w:rFonts w:hint="eastAsia" w:ascii="仿宋" w:hAnsi="仿宋" w:eastAsia="仿宋"/>
                <w:szCs w:val="21"/>
                <w:highlight w:val="none"/>
              </w:rPr>
              <w:t xml:space="preserve">投标供应商根据采购人需求，编制技术方案，内容包括包含①设备设施日常维护计划；②设备设施维护技术方案；③安全管理方案；④人员配置及岗位职责；⑤档案管理方案</w:t>
            </w:r>
            <w:r>
              <w:rPr>
                <w:rFonts w:hint="eastAsia" w:ascii="仿宋" w:hAnsi="仿宋" w:eastAsia="仿宋"/>
                <w:szCs w:val="21"/>
                <w:highlight w:val="none"/>
                <w:lang w:eastAsia="zh-CN"/>
              </w:rPr>
              <w:t xml:space="preserve">；</w:t>
            </w:r>
            <w:r>
              <w:rPr>
                <w:rFonts w:hint="eastAsia" w:ascii="仿宋" w:hAnsi="仿宋" w:eastAsia="仿宋"/>
                <w:szCs w:val="21"/>
                <w:highlight w:val="none"/>
                <w:lang w:val="en-US" w:eastAsia="zh-CN"/>
              </w:rPr>
              <w:t xml:space="preserve">⑥应急预案</w:t>
            </w:r>
            <w:r>
              <w:rPr>
                <w:rFonts w:hint="eastAsia" w:ascii="仿宋" w:hAnsi="仿宋" w:eastAsia="仿宋"/>
                <w:szCs w:val="21"/>
                <w:highlight w:val="none"/>
              </w:rPr>
              <w:t xml:space="preserve">等，</w:t>
            </w:r>
            <w:r>
              <w:rPr>
                <w:rFonts w:hint="eastAsia" w:ascii="宋体" w:hAnsi="宋体" w:cs="宋体"/>
                <w:b/>
                <w:bCs/>
                <w:color w:val="auto"/>
                <w:sz w:val="21"/>
                <w:szCs w:val="21"/>
                <w:highlight w:val="none"/>
              </w:rPr>
              <w:t xml:space="preserve">满足以上</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项要求最多得</w:t>
            </w:r>
            <w:r>
              <w:rPr>
                <w:rFonts w:hint="eastAsia" w:ascii="宋体" w:hAnsi="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rPr>
              <w:t xml:space="preserve">分，满足任意1项最多得</w:t>
            </w:r>
            <w:r>
              <w:rPr>
                <w:rFonts w:hint="eastAsia" w:ascii="宋体" w:hAnsi="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rPr>
              <w:t xml:space="preserve">分；其余情况不得分。</w:t>
            </w:r>
            <w:r/>
          </w:p>
          <w:p>
            <w:pPr>
              <w:ind w:firstLine="420"/>
              <w:spacing w:line="240" w:lineRule="auto"/>
              <w:tabs>
                <w:tab w:val="left" w:pos="426" w:leader="none"/>
              </w:tabs>
              <w:rPr>
                <w:rStyle w:val="833"/>
                <w:rFonts w:hint="eastAsia" w:ascii="Times New Roman" w:hAnsi="Times New Roman" w:eastAsia="宋体" w:cs="Times New Roman"/>
                <w:color w:val="auto"/>
                <w:sz w:val="21"/>
                <w:szCs w:val="21"/>
                <w:highlight w:val="none"/>
                <w:lang w:eastAsia="zh-CN"/>
              </w:rPr>
            </w:pPr>
            <w:r>
              <w:rPr>
                <w:rStyle w:val="833"/>
                <w:rFonts w:hint="eastAsia" w:ascii="Times New Roman" w:hAnsi="Times New Roman" w:eastAsia="宋体" w:cs="Times New Roman"/>
                <w:color w:val="auto"/>
                <w:sz w:val="21"/>
                <w:szCs w:val="21"/>
                <w:highlight w:val="none"/>
                <w:lang w:val="zh-CN" w:eastAsia="zh-CN"/>
              </w:rPr>
              <w:t xml:space="preserve">注：评审委员会根据各投标人的具体响应内容按照以下量化的评审因素指标对各项要求进行评审：</w:t>
            </w:r>
            <w:r/>
          </w:p>
          <w:p>
            <w:pPr>
              <w:ind w:firstLine="420"/>
              <w:spacing w:line="240" w:lineRule="auto"/>
              <w:tabs>
                <w:tab w:val="left" w:pos="426" w:leader="none"/>
              </w:tabs>
              <w:rPr>
                <w:rStyle w:val="833"/>
                <w:rFonts w:hint="eastAsia" w:ascii="宋体" w:hAnsi="宋体" w:eastAsia="宋体" w:cs="宋体"/>
                <w:color w:val="auto"/>
                <w:sz w:val="21"/>
                <w:szCs w:val="21"/>
                <w:highlight w:val="none"/>
                <w:lang w:eastAsia="zh-CN"/>
              </w:rPr>
            </w:pPr>
            <w:r>
              <w:rPr>
                <w:rStyle w:val="833"/>
                <w:rFonts w:hint="eastAsia" w:ascii="宋体" w:hAnsi="宋体" w:eastAsia="宋体" w:cs="宋体"/>
                <w:color w:val="auto"/>
                <w:sz w:val="21"/>
                <w:szCs w:val="21"/>
                <w:highlight w:val="none"/>
              </w:rPr>
              <w:t xml:space="preserve">①</w:t>
            </w:r>
            <w:r>
              <w:rPr>
                <w:rStyle w:val="833"/>
                <w:rFonts w:hint="eastAsia" w:ascii="宋体" w:hAnsi="宋体" w:eastAsia="宋体" w:cs="宋体"/>
                <w:color w:val="auto"/>
                <w:sz w:val="21"/>
                <w:szCs w:val="21"/>
                <w:highlight w:val="none"/>
                <w:lang w:eastAsia="zh-CN"/>
              </w:rPr>
              <w:t xml:space="preserve">提供的内容</w:t>
            </w:r>
            <w:r>
              <w:rPr>
                <w:rStyle w:val="833"/>
                <w:rFonts w:hint="eastAsia" w:ascii="宋体" w:hAnsi="宋体" w:eastAsia="宋体" w:cs="宋体"/>
                <w:color w:val="auto"/>
                <w:sz w:val="21"/>
                <w:szCs w:val="21"/>
                <w:highlight w:val="none"/>
                <w:lang w:val="en-US" w:eastAsia="zh-CN"/>
              </w:rPr>
              <w:t xml:space="preserve">条理清晰、有效，科学合理且可行性高，完全满足服务项目需求，该项得1分。</w:t>
            </w:r>
            <w:r/>
          </w:p>
          <w:p>
            <w:pPr>
              <w:ind w:firstLine="420"/>
              <w:spacing w:line="240" w:lineRule="auto"/>
              <w:tabs>
                <w:tab w:val="left" w:pos="426" w:leader="none"/>
              </w:tabs>
              <w:rPr>
                <w:rStyle w:val="833"/>
                <w:rFonts w:hint="eastAsia" w:ascii="宋体" w:hAnsi="宋体" w:eastAsia="宋体" w:cs="宋体"/>
                <w:color w:val="auto"/>
                <w:sz w:val="21"/>
                <w:szCs w:val="21"/>
                <w:highlight w:val="none"/>
                <w:lang w:eastAsia="zh-CN"/>
              </w:rPr>
            </w:pPr>
            <w:r>
              <w:rPr>
                <w:rStyle w:val="833"/>
                <w:rFonts w:hint="eastAsia" w:ascii="宋体" w:hAnsi="宋体" w:eastAsia="宋体" w:cs="宋体"/>
                <w:color w:val="auto"/>
                <w:sz w:val="21"/>
                <w:szCs w:val="21"/>
                <w:highlight w:val="none"/>
              </w:rPr>
              <w:t xml:space="preserve">②</w:t>
            </w:r>
            <w:r>
              <w:rPr>
                <w:rStyle w:val="833"/>
                <w:rFonts w:hint="eastAsia" w:ascii="宋体" w:hAnsi="宋体" w:eastAsia="宋体" w:cs="宋体"/>
                <w:color w:val="auto"/>
                <w:sz w:val="21"/>
                <w:szCs w:val="21"/>
                <w:highlight w:val="none"/>
                <w:lang w:eastAsia="zh-CN"/>
              </w:rPr>
              <w:t xml:space="preserve">提供的内容</w:t>
            </w:r>
            <w:r>
              <w:rPr>
                <w:rStyle w:val="833"/>
                <w:rFonts w:hint="eastAsia" w:ascii="宋体" w:hAnsi="宋体" w:eastAsia="宋体" w:cs="宋体"/>
                <w:color w:val="auto"/>
                <w:sz w:val="21"/>
                <w:szCs w:val="21"/>
                <w:highlight w:val="none"/>
                <w:lang w:val="en-US" w:eastAsia="zh-CN"/>
              </w:rPr>
              <w:t xml:space="preserve">条理性一般、合理性一般、可行性一般，基本满足服务项目需求，该项得0.6分。</w:t>
            </w:r>
            <w:r/>
          </w:p>
          <w:p>
            <w:pPr>
              <w:ind w:firstLine="420"/>
              <w:spacing w:line="240" w:lineRule="auto"/>
              <w:tabs>
                <w:tab w:val="left" w:pos="426" w:leader="none"/>
              </w:tabs>
              <w:rPr>
                <w:rStyle w:val="833"/>
                <w:rFonts w:hint="eastAsia" w:ascii="宋体" w:hAnsi="宋体" w:eastAsia="宋体" w:cs="宋体"/>
                <w:color w:val="auto"/>
                <w:sz w:val="21"/>
                <w:szCs w:val="21"/>
                <w:highlight w:val="none"/>
                <w:lang w:eastAsia="zh-CN"/>
              </w:rPr>
            </w:pPr>
            <w:r>
              <w:rPr>
                <w:rStyle w:val="833"/>
                <w:rFonts w:hint="eastAsia" w:ascii="宋体" w:hAnsi="宋体" w:eastAsia="宋体" w:cs="宋体"/>
                <w:color w:val="auto"/>
                <w:sz w:val="21"/>
                <w:szCs w:val="21"/>
                <w:highlight w:val="none"/>
              </w:rPr>
              <w:t xml:space="preserve">③</w:t>
            </w:r>
            <w:r>
              <w:rPr>
                <w:rStyle w:val="833"/>
                <w:rFonts w:hint="eastAsia" w:ascii="宋体" w:hAnsi="宋体" w:eastAsia="宋体" w:cs="宋体"/>
                <w:color w:val="auto"/>
                <w:sz w:val="21"/>
                <w:szCs w:val="21"/>
                <w:highlight w:val="none"/>
                <w:lang w:eastAsia="zh-CN"/>
              </w:rPr>
              <w:t xml:space="preserve">提供的内容</w:t>
            </w:r>
            <w:r>
              <w:rPr>
                <w:rStyle w:val="833"/>
                <w:rFonts w:hint="eastAsia" w:ascii="宋体" w:hAnsi="宋体" w:eastAsia="宋体" w:cs="宋体"/>
                <w:color w:val="auto"/>
                <w:sz w:val="21"/>
                <w:szCs w:val="21"/>
                <w:highlight w:val="none"/>
                <w:lang w:val="en-US" w:eastAsia="zh-CN"/>
              </w:rPr>
              <w:t xml:space="preserve">条理混乱，缺乏科学合理性，可行性较差，且未能充分理解服务项目需求，该项得分0.4分。</w:t>
            </w:r>
            <w:r/>
          </w:p>
          <w:p>
            <w:pPr>
              <w:ind w:firstLine="420"/>
              <w:jc w:val="left"/>
              <w:spacing w:line="360" w:lineRule="exact"/>
              <w:rPr>
                <w:rFonts w:hint="eastAsia" w:ascii="仿宋" w:hAnsi="仿宋" w:eastAsia="仿宋"/>
                <w:szCs w:val="21"/>
                <w:highlight w:val="none"/>
              </w:rPr>
            </w:pPr>
            <w:r>
              <w:rPr>
                <w:rStyle w:val="833"/>
                <w:rFonts w:hint="eastAsia" w:ascii="宋体" w:hAnsi="宋体" w:eastAsia="宋体" w:cs="宋体"/>
                <w:color w:val="auto"/>
                <w:sz w:val="21"/>
                <w:szCs w:val="21"/>
                <w:highlight w:val="none"/>
              </w:rPr>
              <w:t xml:space="preserve">④</w:t>
            </w:r>
            <w:r>
              <w:rPr>
                <w:rStyle w:val="833"/>
                <w:rFonts w:hint="eastAsia" w:ascii="宋体" w:hAnsi="宋体" w:eastAsia="宋体" w:cs="宋体"/>
                <w:color w:val="auto"/>
                <w:sz w:val="21"/>
                <w:szCs w:val="21"/>
                <w:highlight w:val="none"/>
                <w:lang w:eastAsia="zh-CN"/>
              </w:rPr>
              <w:t xml:space="preserve">提供的内容不完整或未提供</w:t>
            </w:r>
            <w:r>
              <w:rPr>
                <w:rStyle w:val="833"/>
                <w:rFonts w:hint="eastAsia" w:ascii="宋体" w:hAnsi="宋体" w:eastAsia="宋体" w:cs="宋体"/>
                <w:color w:val="auto"/>
                <w:sz w:val="21"/>
                <w:szCs w:val="21"/>
                <w:highlight w:val="none"/>
                <w:lang w:val="en-US" w:eastAsia="zh-CN"/>
              </w:rPr>
              <w:t xml:space="preserve">相关设施方案</w:t>
            </w:r>
            <w:r>
              <w:rPr>
                <w:rStyle w:val="833"/>
                <w:rFonts w:hint="eastAsia" w:ascii="宋体" w:hAnsi="宋体" w:eastAsia="宋体" w:cs="宋体"/>
                <w:color w:val="auto"/>
                <w:sz w:val="21"/>
                <w:szCs w:val="21"/>
                <w:highlight w:val="none"/>
                <w:lang w:eastAsia="zh-CN"/>
              </w:rPr>
              <w:t xml:space="preserve">，</w:t>
            </w:r>
            <w:r>
              <w:rPr>
                <w:rStyle w:val="833"/>
                <w:rFonts w:hint="eastAsia" w:ascii="宋体" w:hAnsi="宋体" w:eastAsia="宋体" w:cs="宋体"/>
                <w:color w:val="auto"/>
                <w:sz w:val="21"/>
                <w:szCs w:val="21"/>
                <w:highlight w:val="none"/>
                <w:lang w:val="en-US" w:eastAsia="zh-CN"/>
              </w:rPr>
              <w:t xml:space="preserve">与服务项目需求严重不符，该项得0分。</w:t>
            </w:r>
            <w:r/>
          </w:p>
        </w:tc>
      </w:tr>
    </w:tbl>
    <w:p>
      <w:pPr>
        <w:pStyle w:val="822"/>
        <w:jc w:val="both"/>
        <w:spacing w:beforeAutospacing="0" w:afterAutospacing="0"/>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r>
      <w:r/>
    </w:p>
    <w:p>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clear="all"/>
      </w:r>
      <w:r/>
    </w:p>
    <w:p>
      <w:pPr>
        <w:pStyle w:val="822"/>
        <w:jc w:val="center"/>
        <w:keepNext/>
        <w:spacing w:beforeAutospacing="0" w:afterAutospacing="0"/>
        <w:rPr>
          <w:color w:val="auto"/>
          <w:highlight w:val="none"/>
        </w:rPr>
      </w:pPr>
      <w:r>
        <w:rPr>
          <w:rFonts w:hint="eastAsia" w:ascii="黑体" w:hAnsi="宋体" w:eastAsia="黑体" w:cs="黑体"/>
          <w:color w:val="auto"/>
          <w:sz w:val="44"/>
          <w:szCs w:val="44"/>
          <w:highlight w:val="none"/>
        </w:rPr>
        <w:t xml:space="preserve">第六章  投标文件格式 </w:t>
      </w:r>
      <w:r/>
    </w:p>
    <w:p>
      <w:pPr>
        <w:pStyle w:val="822"/>
        <w:jc w:val="center"/>
        <w:spacing w:beforeAutospacing="0" w:afterAutospacing="0"/>
        <w:rPr>
          <w:color w:val="auto"/>
          <w:highlight w:val="none"/>
        </w:rPr>
      </w:pPr>
      <w:r/>
      <w:bookmarkStart w:id="183" w:name="_Hlt26955039"/>
      <w:r/>
      <w:bookmarkEnd w:id="183"/>
      <w:r/>
      <w:bookmarkStart w:id="184" w:name="_Hlt26671244"/>
      <w:r/>
      <w:bookmarkEnd w:id="184"/>
      <w:r/>
      <w:bookmarkStart w:id="185" w:name="_Toc26554094"/>
      <w:r/>
      <w:bookmarkEnd w:id="185"/>
      <w:r/>
      <w:bookmarkStart w:id="186" w:name="_Toc120614282"/>
      <w:r/>
      <w:bookmarkStart w:id="187" w:name="_Toc49090576"/>
      <w:r>
        <w:rPr>
          <w:rFonts w:hint="eastAsia" w:ascii="宋体" w:hAnsi="宋体" w:eastAsia="宋体" w:cs="宋体"/>
          <w:b/>
          <w:color w:val="auto"/>
          <w:sz w:val="72"/>
          <w:szCs w:val="72"/>
          <w:highlight w:val="none"/>
        </w:rPr>
        <w:t xml:space="preserve">投  标  文  件</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名 称：</w:t>
      </w:r>
      <w:r>
        <w:rPr>
          <w:rFonts w:hint="eastAsia" w:ascii="宋体" w:hAnsi="宋体" w:eastAsia="宋体" w:cs="宋体"/>
          <w:b/>
          <w:color w:val="auto"/>
          <w:sz w:val="36"/>
          <w:szCs w:val="36"/>
          <w:highlight w:val="none"/>
          <w:u w:val="single"/>
        </w:rPr>
        <w:t xml:space="preserve">               </w:t>
      </w:r>
      <w:r/>
    </w:p>
    <w:p>
      <w:pPr>
        <w:pStyle w:val="822"/>
        <w:ind w:firstLine="1084"/>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项目 编 号：</w:t>
      </w:r>
      <w:r>
        <w:rPr>
          <w:rFonts w:hint="eastAsia" w:ascii="宋体" w:hAnsi="宋体" w:eastAsia="宋体" w:cs="宋体"/>
          <w:b/>
          <w:color w:val="auto"/>
          <w:sz w:val="36"/>
          <w:szCs w:val="36"/>
          <w:highlight w:val="none"/>
          <w:u w:val="single"/>
        </w:rPr>
        <w:t xml:space="preserve">               </w:t>
      </w:r>
      <w:r/>
    </w:p>
    <w:p>
      <w:pPr>
        <w:pStyle w:val="82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        </w:t>
      </w:r>
      <w:r/>
    </w:p>
    <w:p>
      <w:pPr>
        <w:pStyle w:val="822"/>
        <w:jc w:val="both"/>
        <w:spacing w:beforeAutospacing="0" w:afterAutospacing="0"/>
        <w:rPr>
          <w:color w:val="auto"/>
          <w:highlight w:val="none"/>
        </w:rPr>
      </w:pPr>
      <w:r>
        <w:rPr>
          <w:rFonts w:hint="eastAsia" w:ascii="宋体" w:hAnsi="宋体" w:eastAsia="宋体" w:cs="宋体"/>
          <w:b/>
          <w:color w:val="auto"/>
          <w:sz w:val="36"/>
          <w:szCs w:val="36"/>
          <w:highlight w:val="none"/>
        </w:rPr>
        <w:t xml:space="preserve">   日   期 ：</w:t>
      </w:r>
      <w:r>
        <w:rPr>
          <w:rFonts w:hint="eastAsia" w:ascii="宋体" w:hAnsi="宋体" w:eastAsia="宋体" w:cs="宋体"/>
          <w:b/>
          <w:color w:val="auto"/>
          <w:sz w:val="36"/>
          <w:szCs w:val="36"/>
          <w:highlight w:val="none"/>
          <w:u w:val="singl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pStyle w:val="822"/>
        <w:jc w:val="center"/>
        <w:spacing w:beforeAutospacing="0" w:afterAutospacing="0" w:line="0" w:lineRule="atLeast"/>
        <w:rPr>
          <w:rFonts w:ascii="宋体" w:hAnsi="宋体" w:eastAsia="宋体" w:cs="宋体"/>
          <w:b/>
          <w:color w:val="auto"/>
          <w:sz w:val="36"/>
          <w:szCs w:val="36"/>
          <w:highlight w:val="none"/>
          <w:u w:val="single"/>
        </w:rPr>
      </w:pPr>
      <w:r>
        <w:rPr>
          <w:rFonts w:ascii="宋体" w:hAnsi="宋体" w:eastAsia="宋体" w:cs="宋体"/>
          <w:b/>
          <w:color w:val="auto"/>
          <w:sz w:val="36"/>
          <w:szCs w:val="36"/>
          <w:highlight w:val="none"/>
          <w:u w:val="single"/>
        </w:rPr>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pStyle w:val="822"/>
        <w:jc w:val="center"/>
        <w:spacing w:beforeAutospacing="0" w:afterAutospacing="0" w:line="0" w:lineRule="atLeast"/>
        <w:rPr>
          <w:color w:val="auto"/>
          <w:highlight w:val="none"/>
        </w:rPr>
      </w:pPr>
      <w:r>
        <w:rPr>
          <w:rFonts w:hint="eastAsia" w:ascii="宋体" w:hAnsi="宋体" w:eastAsia="宋体" w:cs="宋体"/>
          <w:b/>
          <w:color w:val="auto"/>
          <w:sz w:val="32"/>
          <w:szCs w:val="32"/>
          <w:highlight w:val="none"/>
        </w:rPr>
        <w:t xml:space="preserve">投标文件目录</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二、上一年度的财务状况报表（至少提供资产负债表、利润表、现金流量表，</w:t>
      </w:r>
      <w:r/>
    </w:p>
    <w:p>
      <w:pPr>
        <w:pStyle w:val="822"/>
        <w:ind w:left="480"/>
        <w:jc w:val="both"/>
        <w:spacing w:beforeAutospacing="0" w:afterAutospacing="0"/>
        <w:rPr>
          <w:rFonts w:hint="eastAsia" w:ascii="宋体" w:hAnsi="宋体" w:eastAsia="宋体" w:cs="宋体"/>
          <w:i w:val="0"/>
          <w:iCs/>
          <w:color w:val="auto"/>
          <w:sz w:val="24"/>
          <w:szCs w:val="24"/>
          <w:highlight w:val="none"/>
          <w:u w:val="none"/>
          <w:lang w:val="en-US" w:eastAsia="zh-CN" w:bidi="ar-SA"/>
        </w:rPr>
      </w:pPr>
      <w:r>
        <w:rPr>
          <w:rFonts w:hint="eastAsia" w:ascii="宋体" w:hAnsi="宋体" w:eastAsia="宋体" w:cs="宋体"/>
          <w:i w:val="0"/>
          <w:iCs/>
          <w:color w:val="auto"/>
          <w:sz w:val="24"/>
          <w:szCs w:val="24"/>
          <w:highlight w:val="none"/>
          <w:u w:val="none"/>
          <w:lang w:val="en-US" w:eastAsia="zh-CN" w:bidi="ar-SA"/>
        </w:rPr>
        <w:t xml:space="preserve">投标人成立不满一年无需提供）</w:t>
      </w:r>
      <w:r/>
    </w:p>
    <w:p>
      <w:pPr>
        <w:pStyle w:val="82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三</w:t>
      </w:r>
      <w:r>
        <w:rPr>
          <w:rFonts w:hint="eastAsia" w:ascii="宋体" w:hAnsi="宋体" w:eastAsia="宋体" w:cs="宋体"/>
          <w:i w:val="0"/>
          <w:iCs/>
          <w:color w:val="auto"/>
          <w:highlight w:val="none"/>
          <w:u w:val="none"/>
        </w:rPr>
        <w:t xml:space="preserve">、具备履行合同所必需的设备和专业技术能力的书面声明</w:t>
      </w:r>
      <w:r/>
    </w:p>
    <w:p>
      <w:pPr>
        <w:pStyle w:val="822"/>
        <w:ind w:left="480"/>
        <w:jc w:val="both"/>
        <w:spacing w:beforeAutospacing="0" w:afterAutospacing="0"/>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四</w:t>
      </w:r>
      <w:r>
        <w:rPr>
          <w:rFonts w:hint="eastAsia" w:ascii="宋体" w:hAnsi="宋体" w:eastAsia="宋体" w:cs="宋体"/>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五、参加政府采购活动前 3 年内在经营活动中没有重大违法记录的书面声明</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六、特定资格要求的证明文件（如果本项目设置特定资格要求，则需要提供）</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七、法人授权书</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八、投标函</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十、残疾人福利性单位声明函</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十一、联合体协议</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十二、投标分项报价表</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十三、技术要求响应及偏离表</w:t>
      </w:r>
      <w:r/>
    </w:p>
    <w:p>
      <w:pPr>
        <w:pStyle w:val="822"/>
        <w:ind w:firstLine="480"/>
        <w:jc w:val="both"/>
        <w:spacing w:beforeAutospacing="0" w:afterAutospacing="0" w:line="0" w:lineRule="atLeast"/>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十四、商务要求响应及偏离表</w:t>
      </w:r>
      <w:r/>
    </w:p>
    <w:p>
      <w:pPr>
        <w:pStyle w:val="822"/>
        <w:ind w:left="480"/>
        <w:jc w:val="both"/>
        <w:spacing w:beforeAutospacing="0" w:afterAutospacing="0"/>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十五、开标一览表</w:t>
      </w:r>
      <w:r/>
    </w:p>
    <w:p>
      <w:pPr>
        <w:ind w:firstLine="480"/>
        <w:spacing w:before="50" w:after="50"/>
        <w:widowControl/>
        <w:rPr>
          <w:rFonts w:ascii="宋体" w:hAnsi="宋体" w:eastAsia="宋体" w:cs="宋体"/>
          <w:i w:val="0"/>
          <w:iCs/>
          <w:color w:val="auto"/>
          <w:sz w:val="24"/>
          <w:highlight w:val="none"/>
          <w:u w:val="none"/>
        </w:rPr>
      </w:pPr>
      <w:r>
        <w:rPr>
          <w:rFonts w:hint="eastAsia" w:ascii="宋体" w:hAnsi="宋体" w:eastAsia="宋体" w:cs="宋体"/>
          <w:i w:val="0"/>
          <w:iCs/>
          <w:color w:val="auto"/>
          <w:sz w:val="24"/>
          <w:highlight w:val="none"/>
          <w:u w:val="none"/>
        </w:rPr>
        <w:t xml:space="preserve">十六、技术方案、服务承诺、培训承诺等</w:t>
      </w:r>
      <w:r/>
    </w:p>
    <w:p>
      <w:pPr>
        <w:pStyle w:val="822"/>
        <w:ind w:firstLine="480"/>
        <w:jc w:val="both"/>
        <w:spacing w:beforeAutospacing="0" w:afterAutospacing="0" w:line="360" w:lineRule="auto"/>
        <w:rPr>
          <w:rFonts w:ascii="宋体" w:hAnsi="宋体" w:eastAsia="宋体" w:cs="宋体"/>
          <w:i w:val="0"/>
          <w:iCs/>
          <w:color w:val="auto"/>
          <w:highlight w:val="none"/>
          <w:u w:val="none"/>
        </w:rPr>
      </w:pPr>
      <w:r>
        <w:rPr>
          <w:rFonts w:hint="eastAsia" w:ascii="宋体" w:hAnsi="宋体" w:eastAsia="宋体" w:cs="宋体"/>
          <w:i w:val="0"/>
          <w:iCs/>
          <w:color w:val="auto"/>
          <w:highlight w:val="none"/>
          <w:u w:val="none"/>
        </w:rPr>
        <w:t xml:space="preserve">十七、盐城市政府采购事前信用承诺书</w:t>
      </w:r>
      <w:r/>
    </w:p>
    <w:p>
      <w:pPr>
        <w:pStyle w:val="822"/>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22"/>
        <w:ind w:firstLine="480"/>
        <w:jc w:val="both"/>
        <w:spacing w:beforeAutospacing="0" w:afterAutospacing="0" w:line="0" w:lineRule="atLeast"/>
        <w:rPr>
          <w:rFonts w:ascii="宋体" w:hAnsi="宋体" w:eastAsia="宋体" w:cs="宋体"/>
          <w:color w:val="auto"/>
          <w:highlight w:val="none"/>
        </w:rPr>
      </w:pPr>
      <w:r>
        <w:rPr>
          <w:rFonts w:ascii="宋体" w:hAnsi="宋体" w:eastAsia="宋体" w:cs="宋体"/>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一、法人或者其他组织的营业执照等证明文件，自然人的身份证明</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rPr>
          <w:rFonts w:eastAsia="黑体"/>
          <w:color w:val="auto"/>
          <w:highlight w:val="none"/>
        </w:rPr>
      </w:pPr>
      <w:r>
        <w:rPr>
          <w:rFonts w:hint="eastAsia" w:ascii="黑体" w:hAnsi="宋体" w:eastAsia="黑体" w:cs="黑体"/>
          <w:i/>
          <w:color w:val="auto"/>
          <w:sz w:val="32"/>
          <w:szCs w:val="32"/>
          <w:highlight w:val="none"/>
          <w:u w:val="single"/>
        </w:rPr>
        <w:t xml:space="preserve">二、上一年度的财务状况报表</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投标人成立不满一年不需提供</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三</w:t>
      </w:r>
      <w:r>
        <w:rPr>
          <w:rFonts w:hint="eastAsia" w:ascii="黑体" w:hAnsi="宋体" w:eastAsia="黑体" w:cs="黑体"/>
          <w:i/>
          <w:color w:val="auto"/>
          <w:sz w:val="32"/>
          <w:szCs w:val="32"/>
          <w:highlight w:val="none"/>
          <w:u w:val="single"/>
        </w:rPr>
        <w:t xml:space="preserve">、具备履行合同所必需的设备和专业技术能力的书面声明</w:t>
      </w:r>
      <w:r/>
    </w:p>
    <w:p>
      <w:pPr>
        <w:pStyle w:val="82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2"/>
        <w:ind w:firstLine="49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2"/>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2"/>
        <w:jc w:val="both"/>
        <w:spacing w:beforeAutospacing="0" w:afterAutospacing="0"/>
        <w:rPr>
          <w:color w:val="auto"/>
          <w:highlight w:val="none"/>
        </w:rPr>
      </w:pPr>
      <w:r>
        <w:rPr>
          <w:rFonts w:hint="eastAsia" w:ascii="黑体" w:hAnsi="宋体" w:eastAsia="黑体" w:cs="黑体"/>
          <w:i/>
          <w:color w:val="auto"/>
          <w:sz w:val="32"/>
          <w:szCs w:val="32"/>
          <w:highlight w:val="none"/>
          <w:u w:val="single"/>
          <w:lang w:val="en-US" w:eastAsia="zh-CN"/>
        </w:rPr>
        <w:t xml:space="preserve">四</w:t>
      </w:r>
      <w:r>
        <w:rPr>
          <w:rFonts w:hint="eastAsia" w:ascii="黑体" w:hAnsi="宋体" w:eastAsia="黑体" w:cs="黑体"/>
          <w:i/>
          <w:color w:val="auto"/>
          <w:sz w:val="32"/>
          <w:szCs w:val="32"/>
          <w:highlight w:val="none"/>
          <w:u w:val="single"/>
        </w:rPr>
        <w:t xml:space="preserve">、依法缴纳税收和社会保障资金的相关材料</w:t>
      </w:r>
      <w:r/>
    </w:p>
    <w:p>
      <w:pPr>
        <w:pStyle w:val="822"/>
        <w:ind w:firstLine="480"/>
        <w:jc w:val="both"/>
        <w:spacing w:beforeAutospacing="0" w:afterAutospacing="0"/>
        <w:rPr>
          <w:color w:val="auto"/>
          <w:highlight w:val="none"/>
        </w:rPr>
      </w:pPr>
      <w:r/>
      <w:bookmarkStart w:id="188" w:name="_Toc120614284"/>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82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五、参加政府采购活动前 3 年内在经营活动中没有重大违法记录的书面声明</w:t>
      </w:r>
      <w:r/>
    </w:p>
    <w:p>
      <w:pPr>
        <w:pStyle w:val="822"/>
        <w:jc w:val="both"/>
        <w:spacing w:beforeAutospacing="0" w:afterAutospacing="0" w:line="0" w:lineRule="atLeast"/>
        <w:rPr>
          <w:color w:val="auto"/>
          <w:highlight w:val="none"/>
        </w:rPr>
      </w:pPr>
      <w:r>
        <w:rPr>
          <w:rFonts w:hint="eastAsia" w:ascii="宋体" w:hAnsi="宋体" w:eastAsia="宋体" w:cs="宋体"/>
          <w:b/>
          <w:color w:val="auto"/>
          <w:sz w:val="44"/>
          <w:szCs w:val="44"/>
          <w:highlight w:val="none"/>
        </w:rPr>
        <w:t xml:space="preserve">       声  明</w:t>
      </w:r>
      <w:r/>
    </w:p>
    <w:p>
      <w:pPr>
        <w:pStyle w:val="822"/>
        <w:jc w:val="both"/>
        <w:spacing w:beforeAutospacing="0" w:afterAutospacing="0" w:line="0" w:lineRule="atLeast"/>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六、特定资格要求的证明文件</w:t>
      </w:r>
      <w:r/>
    </w:p>
    <w:p>
      <w:pPr>
        <w:pStyle w:val="82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2"/>
        <w:jc w:val="center"/>
        <w:spacing w:beforeAutospacing="0" w:afterAutospacing="0"/>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r>
      <w:r/>
    </w:p>
    <w:p>
      <w:pPr>
        <w:pStyle w:val="822"/>
        <w:jc w:val="center"/>
        <w:spacing w:beforeAutospacing="0" w:afterAutospacing="0"/>
        <w:rPr>
          <w:color w:val="auto"/>
          <w:highlight w:val="none"/>
        </w:rPr>
      </w:pPr>
      <w:r>
        <w:rPr>
          <w:rFonts w:hint="eastAsia" w:ascii="黑体" w:hAnsi="宋体" w:eastAsia="黑体" w:cs="黑体"/>
          <w:i/>
          <w:color w:val="auto"/>
          <w:sz w:val="32"/>
          <w:szCs w:val="32"/>
          <w:highlight w:val="none"/>
          <w:u w:val="single"/>
        </w:rPr>
        <w:t xml:space="preserve">七、法人授权书</w:t>
      </w:r>
      <w:r/>
    </w:p>
    <w:p>
      <w:pPr>
        <w:pStyle w:val="82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本授权书声明：____________（投标人名称）授权________________（被授权人的姓名）为我方就JSZC-</w:t>
      </w:r>
      <w:r>
        <w:rPr>
          <w:rFonts w:ascii="Times New Roman" w:hAnsi="Times New Roman"/>
          <w:color w:val="auto"/>
          <w:highlight w:val="none"/>
          <w:u w:val="single"/>
        </w:rPr>
        <w:t xml:space="preserve">        </w:t>
      </w:r>
      <w:r>
        <w:rPr>
          <w:rFonts w:ascii="Times New Roman" w:hAnsi="Times New Roman"/>
          <w:color w:val="auto"/>
          <w:highlight w:val="none"/>
        </w:rPr>
        <w:t xml:space="preserve">号项目采购活动的合法代理人，以本单位名义全权处理一切与该项目采购有关的事务。</w:t>
      </w:r>
      <w:r/>
    </w:p>
    <w:p>
      <w:pPr>
        <w:pStyle w:val="82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本授权书于______年____月____日起生效，特此声明。</w:t>
      </w:r>
      <w:r/>
    </w:p>
    <w:p>
      <w:pPr>
        <w:pStyle w:val="82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被授权人身份证号码：</w:t>
      </w:r>
      <w:r>
        <w:rPr>
          <w:rFonts w:ascii="Times New Roman" w:hAnsi="Times New Roman"/>
          <w:color w:val="auto"/>
          <w:highlight w:val="none"/>
          <w:u w:val="single"/>
        </w:rPr>
        <w:t xml:space="preserve">                              </w:t>
      </w:r>
      <w:r/>
    </w:p>
    <w:p>
      <w:pPr>
        <w:pStyle w:val="822"/>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被授权人联系电话：（手机）</w:t>
      </w:r>
      <w:r>
        <w:rPr>
          <w:rFonts w:ascii="Times New Roman" w:hAnsi="Times New Roman"/>
          <w:color w:val="auto"/>
          <w:highlight w:val="none"/>
          <w:u w:val="single"/>
        </w:rPr>
        <w:t xml:space="preserve">                          </w:t>
      </w:r>
      <w:r/>
    </w:p>
    <w:p>
      <w:pPr>
        <w:pStyle w:val="822"/>
        <w:ind w:firstLine="120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授权单位名称：</w:t>
      </w:r>
      <w:r>
        <w:rPr>
          <w:rFonts w:ascii="Times New Roman" w:hAnsi="Times New Roman"/>
          <w:color w:val="auto"/>
          <w:highlight w:val="none"/>
          <w:u w:val="single"/>
        </w:rPr>
        <w:t xml:space="preserve">（加盖CA电子公章）</w:t>
      </w:r>
      <w:r/>
    </w:p>
    <w:p>
      <w:pPr>
        <w:pStyle w:val="82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单位地址：</w:t>
      </w:r>
      <w:r>
        <w:rPr>
          <w:rFonts w:ascii="Times New Roman" w:hAnsi="Times New Roman"/>
          <w:color w:val="auto"/>
          <w:highlight w:val="none"/>
          <w:u w:val="single"/>
        </w:rPr>
        <w:t xml:space="preserve">                                         </w:t>
      </w:r>
      <w:r/>
    </w:p>
    <w:p>
      <w:pPr>
        <w:pStyle w:val="822"/>
        <w:ind w:firstLine="480"/>
        <w:jc w:val="both"/>
        <w:spacing w:beforeAutospacing="0" w:afterAutospacing="0"/>
        <w:tabs>
          <w:tab w:val="left" w:pos="360" w:leader="none"/>
        </w:tabs>
        <w:rPr>
          <w:color w:val="auto"/>
          <w:highlight w:val="none"/>
        </w:rPr>
      </w:pPr>
      <w:r>
        <w:rPr>
          <w:rFonts w:ascii="Times New Roman" w:hAnsi="Times New Roman"/>
          <w:color w:val="auto"/>
          <w:highlight w:val="none"/>
        </w:rPr>
        <w:t xml:space="preserve">      日期：</w:t>
      </w:r>
      <w:bookmarkStart w:id="189" w:name="_Hlt26955070"/>
      <w:r/>
      <w:bookmarkStart w:id="190" w:name="_格式3__银行出具的资信证明"/>
      <w:r/>
      <w:bookmarkStart w:id="191" w:name="_Hlt26671380"/>
      <w:r>
        <w:rPr>
          <w:rFonts w:ascii="Times New Roman" w:hAnsi="Times New Roman"/>
          <w:color w:val="auto"/>
          <w:highlight w:val="none"/>
          <w:u w:val="single"/>
        </w:rPr>
        <w:t xml:space="preserve">                                         </w:t>
      </w:r>
      <w:r/>
    </w:p>
    <w:p>
      <w:pPr>
        <w:pStyle w:val="822"/>
        <w:ind w:firstLine="420"/>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我公司（单位）委托进行现场演示的人员为（本项目如果无现场演示要求，请项目经办人自行删除该备注）</w:t>
      </w:r>
      <w:r/>
    </w:p>
    <w:p>
      <w:pPr>
        <w:pStyle w:val="82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（人员姓名），身份证号          。</w:t>
      </w:r>
      <w:r/>
    </w:p>
    <w:p>
      <w:pPr>
        <w:pStyle w:val="822"/>
        <w:ind w:firstLine="480"/>
        <w:jc w:val="both"/>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ind w:firstLine="3390"/>
        <w:jc w:val="both"/>
        <w:keepLines/>
        <w:keepNext/>
        <w:spacing w:before="260" w:beforeAutospacing="0" w:after="260" w:afterAutospacing="0" w:line="415" w:lineRule="auto"/>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黑体" w:hAnsi="宋体" w:eastAsia="黑体" w:cs="黑体"/>
          <w:b/>
          <w:color w:val="auto"/>
          <w:sz w:val="32"/>
          <w:szCs w:val="32"/>
          <w:highlight w:val="none"/>
        </w:rPr>
        <w:t xml:space="preserve">八、投标函</w:t>
      </w:r>
      <w:r/>
    </w:p>
    <w:p>
      <w:pPr>
        <w:pStyle w:val="822"/>
        <w:spacing w:beforeAutospacing="0" w:afterAutospacing="0" w:line="0" w:lineRule="atLeast"/>
        <w:rPr>
          <w:rFonts w:hint="default" w:eastAsia="宋体"/>
          <w:color w:val="auto"/>
          <w:highlight w:val="none"/>
          <w:lang w:val="en-US" w:eastAsia="zh-CN"/>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lang w:val="en-US" w:eastAsia="zh-CN"/>
        </w:rPr>
        <w:t xml:space="preserve">东台市中医院</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JSZC-320981-CCGC-G2026-0001</w:t>
      </w:r>
      <w:r>
        <w:rPr>
          <w:rFonts w:hint="eastAsia" w:ascii="宋体" w:hAnsi="宋体" w:eastAsia="宋体" w:cs="宋体"/>
          <w:color w:val="auto"/>
          <w:highlight w:val="none"/>
        </w:rPr>
        <w:t xml:space="preserve">号招标文件，正式授权下述签字人______(姓名)代表我方______________（投标人的名称），全权处理本次项目投标的有关事宜。</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据此函，__________签字人兹宣布同意如下：</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1.按招标文件规定的各项要求，向买方提供所需服务（包含与服务相关的货物）。</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822"/>
        <w:ind w:firstLine="480"/>
        <w:spacing w:beforeAutospacing="0" w:afterAutospacing="0" w:line="0" w:lineRule="atLeast"/>
        <w:rPr>
          <w:color w:val="auto"/>
          <w:highlight w:val="none"/>
        </w:rPr>
      </w:pPr>
      <w:r>
        <w:rPr>
          <w:rFonts w:hint="eastAsia" w:ascii="宋体" w:hAnsi="宋体" w:eastAsia="宋体" w:cs="宋体"/>
          <w:color w:val="auto"/>
          <w:highlight w:val="none"/>
        </w:rPr>
        <w:t xml:space="preserve">7.与本投标有关的正式通讯地址为：</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邮编：</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电话：</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传真：</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账户：                                      </w:t>
      </w:r>
      <w:r/>
    </w:p>
    <w:p>
      <w:pPr>
        <w:ind w:firstLine="924"/>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w:t>
      </w:r>
      <w:r>
        <w:rPr>
          <w:rFonts w:hint="eastAsia" w:ascii="宋体" w:hAnsi="宋体" w:eastAsia="宋体" w:cs="宋体"/>
          <w:color w:val="auto"/>
          <w:sz w:val="24"/>
          <w:highlight w:val="none"/>
          <w:u w:val="single"/>
        </w:rPr>
        <w:t xml:space="preserve">              </w:t>
      </w:r>
      <w:r/>
    </w:p>
    <w:p>
      <w:pPr>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1680"/>
        <w:keepLines w:val="0"/>
        <w:keepNext w:val="0"/>
        <w:pageBreakBefore w:val="0"/>
        <w:spacing w:line="40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jc w:val="right"/>
        <w:keepLines w:val="0"/>
        <w:keepNext w:val="0"/>
        <w:pageBreakBefore w:val="0"/>
        <w:spacing w:line="400" w:lineRule="exact"/>
        <w:widowControl w:val="off"/>
        <w:rPr>
          <w:rFonts w:ascii="仿宋_GB2312" w:eastAsia="仿宋_GB2312"/>
          <w:color w:val="auto"/>
          <w:sz w:val="24"/>
          <w:highlight w:val="none"/>
        </w:rPr>
        <w:outlineLvl w:val="1"/>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rPr>
          <w:rFonts w:hint="eastAsia" w:ascii="仿宋_GB2312" w:eastAsia="仿宋_GB2312"/>
          <w:color w:val="auto"/>
          <w:sz w:val="24"/>
          <w:highlight w:val="none"/>
        </w:rPr>
        <w:t xml:space="preserve"> </w:t>
      </w:r>
      <w:r/>
    </w:p>
    <w:p>
      <w:pPr>
        <w:pStyle w:val="822"/>
        <w:ind w:firstLine="240"/>
        <w:jc w:val="center"/>
        <w:spacing w:beforeAutospacing="0" w:afterAutospacing="0" w:line="0" w:lineRule="atLeast"/>
        <w:rPr>
          <w:color w:val="auto"/>
          <w:highlight w:val="none"/>
        </w:rPr>
      </w:pPr>
      <w:r>
        <w:rPr>
          <w:color w:val="auto"/>
          <w:highlight w:val="none"/>
        </w:rPr>
        <w:t xml:space="preserve"> </w:t>
      </w:r>
      <w:r/>
    </w:p>
    <w:p>
      <w:pPr>
        <w:pStyle w:val="822"/>
        <w:ind w:firstLine="240"/>
        <w:jc w:val="center"/>
        <w:spacing w:beforeAutospacing="0" w:afterAutospacing="0" w:line="0" w:lineRule="atLeast"/>
        <w:rPr>
          <w:color w:val="auto"/>
          <w:highlight w:val="none"/>
        </w:rPr>
      </w:pPr>
      <w:r>
        <w:rPr>
          <w:color w:val="auto"/>
          <w:highlight w:val="none"/>
        </w:rPr>
        <w:t xml:space="preserve"> </w:t>
      </w:r>
      <w:r/>
    </w:p>
    <w:p>
      <w:pPr>
        <w:pStyle w:val="822"/>
        <w:ind w:firstLine="240"/>
        <w:jc w:val="center"/>
        <w:spacing w:beforeAutospacing="0" w:afterAutospacing="0" w:line="0" w:lineRule="atLeast"/>
        <w:rPr>
          <w:color w:val="auto"/>
          <w:highlight w:val="none"/>
        </w:rPr>
      </w:pPr>
      <w:r>
        <w:rPr>
          <w:color w:val="auto"/>
          <w:highlight w:val="none"/>
        </w:rPr>
        <w:t xml:space="preserve"> </w:t>
      </w:r>
      <w:r/>
    </w:p>
    <w:p>
      <w:pPr>
        <w:pStyle w:val="822"/>
        <w:ind w:firstLine="240"/>
        <w:jc w:val="center"/>
        <w:spacing w:beforeAutospacing="0" w:afterAutospacing="0" w:line="0" w:lineRule="atLeast"/>
        <w:rPr>
          <w:color w:val="auto"/>
          <w:highlight w:val="none"/>
        </w:rPr>
      </w:pPr>
      <w:r>
        <w:rPr>
          <w:color w:val="auto"/>
          <w:highlight w:val="none"/>
        </w:rPr>
        <w:t xml:space="preserve"> </w:t>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ind w:firstLine="240"/>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企业声明函（服务）（分包号：**）</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2"/>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2"/>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822"/>
        <w:ind w:right="720"/>
        <w:jc w:val="both"/>
        <w:spacing w:beforeAutospacing="0" w:afterAutospacing="0" w:line="0" w:lineRule="atLeast"/>
        <w:rPr>
          <w:color w:val="auto"/>
          <w:highlight w:val="none"/>
        </w:rPr>
      </w:pPr>
      <w:r>
        <w:rPr>
          <w:color w:val="auto"/>
          <w:highlight w:val="none"/>
        </w:rPr>
        <w:t xml:space="preserve"> </w:t>
      </w:r>
      <w:r/>
    </w:p>
    <w:p>
      <w:pPr>
        <w:pStyle w:val="822"/>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822"/>
        <w:ind w:right="480" w:firstLine="48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822"/>
        <w:ind w:firstLine="24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82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auto"/>
          <w:sz w:val="32"/>
          <w:szCs w:val="32"/>
          <w:highlight w:val="none"/>
        </w:rPr>
        <w:t xml:space="preserve"> 十、残疾人福利性单位声明函（分包号：**）</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项目（分包号：**）采购活动由本单位提供服务。</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822"/>
        <w:ind w:firstLine="480"/>
        <w:jc w:val="both"/>
        <w:spacing w:beforeAutospacing="0" w:afterAutospacing="0" w:line="0" w:lineRule="atLeast"/>
        <w:rPr>
          <w:color w:val="auto"/>
          <w:highlight w:val="none"/>
        </w:rPr>
      </w:pPr>
      <w:r>
        <w:rPr>
          <w:color w:val="auto"/>
          <w:highlight w:val="none"/>
        </w:rPr>
        <w:t xml:space="preserve"> </w:t>
      </w:r>
      <w:r/>
    </w:p>
    <w:p>
      <w:pPr>
        <w:pStyle w:val="822"/>
        <w:ind w:firstLine="480"/>
        <w:jc w:val="both"/>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 xml:space="preserve">备注：1、供应商如不提供此声明函，价格将不做相应扣除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p>
    <w:p>
      <w:pPr>
        <w:pStyle w:val="822"/>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2、中标人为残疾人福利单位的，此声明函将随中标结果同时公告，接受社会监督</w:t>
      </w:r>
      <w:r/>
    </w:p>
    <w:p>
      <w:pPr>
        <w:pStyle w:val="822"/>
        <w:ind w:firstLine="624"/>
        <w:jc w:val="both"/>
        <w:spacing w:beforeAutospacing="0" w:afterAutospacing="0" w:line="0" w:lineRule="atLeast"/>
        <w:rPr>
          <w:color w:val="auto"/>
          <w:highlight w:val="none"/>
        </w:rPr>
      </w:pPr>
      <w:r>
        <w:rPr>
          <w:color w:val="auto"/>
          <w:highlight w:val="none"/>
        </w:rPr>
        <w:t xml:space="preserve"> </w:t>
      </w:r>
      <w:r/>
    </w:p>
    <w:p>
      <w:pPr>
        <w:pStyle w:val="822"/>
        <w:ind w:right="1560" w:firstLine="624"/>
        <w:jc w:val="center"/>
        <w:spacing w:beforeAutospacing="0" w:afterAutospacing="0" w:line="0" w:lineRule="atLeast"/>
        <w:tabs>
          <w:tab w:val="left" w:pos="4864" w:leader="none"/>
        </w:tabs>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822"/>
        <w:ind w:right="1560" w:firstLine="480"/>
        <w:jc w:val="center"/>
        <w:spacing w:beforeAutospacing="0" w:afterAutospacing="0" w:line="0" w:lineRule="atLeast"/>
        <w:tabs>
          <w:tab w:val="left" w:pos="4864" w:leader="none"/>
        </w:tabs>
        <w:rPr>
          <w:color w:val="auto"/>
          <w:highlight w:val="none"/>
        </w:rPr>
      </w:pPr>
      <w:r>
        <w:rPr>
          <w:rFonts w:hint="eastAsia" w:ascii="宋体" w:hAnsi="宋体" w:eastAsia="宋体" w:cs="宋体"/>
          <w:color w:val="auto"/>
          <w:highlight w:val="none"/>
        </w:rPr>
        <w:t xml:space="preserve">   日  期：</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color w:val="auto"/>
          <w:highlight w:val="none"/>
        </w:rPr>
        <w:t xml:space="preserve"> </w:t>
      </w:r>
      <w:r/>
    </w:p>
    <w:p>
      <w:pPr>
        <w:pStyle w:val="822"/>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十一、联合体协议（参考格式）（分包号：**）</w:t>
      </w:r>
      <w:r/>
    </w:p>
    <w:p>
      <w:pPr>
        <w:pStyle w:val="822"/>
        <w:jc w:val="both"/>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（联合体中各供应商全称）在此达成以下协议：</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822"/>
        <w:ind w:firstLine="645"/>
        <w:jc w:val="both"/>
        <w:spacing w:beforeAutospacing="0" w:afterAutospacing="0" w:line="0" w:lineRule="atLeast"/>
        <w:rPr>
          <w:color w:val="auto"/>
          <w:highlight w:val="none"/>
        </w:rPr>
      </w:pPr>
      <w:r>
        <w:rPr>
          <w:color w:val="auto"/>
          <w:highlight w:val="none"/>
        </w:rPr>
        <w:t xml:space="preserve"> </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w:t>
      </w:r>
      <w:r/>
    </w:p>
    <w:p>
      <w:pPr>
        <w:pStyle w:val="822"/>
        <w:ind w:firstLine="645"/>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联合体中各供应商全称（公章）：     </w:t>
      </w:r>
      <w:r/>
    </w:p>
    <w:p>
      <w:pPr>
        <w:pStyle w:val="822"/>
        <w:ind w:firstLine="645"/>
        <w:jc w:val="both"/>
        <w:spacing w:beforeAutospacing="0" w:afterAutospacing="0" w:line="0" w:lineRule="atLeast"/>
        <w:rPr>
          <w:color w:val="auto"/>
          <w:highlight w:val="none"/>
        </w:rPr>
      </w:pPr>
      <w:r>
        <w:rPr>
          <w:rFonts w:hint="eastAsia" w:ascii="宋体" w:hAnsi="宋体" w:eastAsia="宋体" w:cs="宋体"/>
          <w:color w:val="auto"/>
          <w:highlight w:val="none"/>
        </w:rPr>
        <w:t xml:space="preserve">                                                        日期：</w:t>
      </w:r>
      <w:r/>
    </w:p>
    <w:p>
      <w:pPr>
        <w:pStyle w:val="822"/>
        <w:ind w:firstLine="645"/>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r>
      <w:r/>
    </w:p>
    <w:p>
      <w:pPr>
        <w:pStyle w:val="822"/>
        <w:jc w:val="both"/>
        <w:spacing w:beforeAutospacing="0" w:afterAutospacing="0" w:line="0" w:lineRule="atLeast"/>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r>
      <w:r/>
    </w:p>
    <w:p>
      <w:pPr>
        <w:ind w:firstLine="3534"/>
        <w:rPr>
          <w:rFonts w:ascii="黑体" w:hAnsi="Calibri" w:eastAsia="黑体"/>
          <w:b/>
          <w:bCs/>
          <w:color w:val="auto"/>
          <w:sz w:val="32"/>
          <w:szCs w:val="32"/>
          <w:highlight w:val="none"/>
        </w:rPr>
        <w:outlineLvl w:val="1"/>
      </w:pPr>
      <w:r>
        <w:rPr>
          <w:rFonts w:hint="eastAsia" w:ascii="黑体" w:hAnsi="宋体" w:eastAsia="黑体" w:cs="黑体"/>
          <w:b/>
          <w:color w:val="auto"/>
          <w:sz w:val="32"/>
          <w:szCs w:val="32"/>
          <w:highlight w:val="none"/>
        </w:rPr>
        <w:t xml:space="preserve">十二、</w:t>
      </w:r>
      <w:r>
        <w:rPr>
          <w:rFonts w:hint="eastAsia" w:ascii="黑体" w:hAnsi="Calibri" w:eastAsia="黑体"/>
          <w:b/>
          <w:bCs/>
          <w:color w:val="auto"/>
          <w:sz w:val="32"/>
          <w:szCs w:val="32"/>
          <w:highlight w:val="none"/>
        </w:rPr>
        <w:t xml:space="preserve">报价表</w:t>
      </w:r>
      <w:r/>
    </w:p>
    <w:tbl>
      <w:tblPr>
        <w:tblStyle w:val="815"/>
        <w:tblW w:w="91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4562"/>
        <w:gridCol w:w="2143"/>
        <w:gridCol w:w="1578"/>
      </w:tblGrid>
      <w:tr>
        <w:trPr>
          <w:trHeight w:val="950"/>
        </w:trPr>
        <w:tc>
          <w:tcPr>
            <w:tcW w:w="835" w:type="dxa"/>
            <w:vAlign w:val="center"/>
            <w:textDirection w:val="lrTb"/>
            <w:noWrap w:val="false"/>
          </w:tcPr>
          <w:p>
            <w:pPr>
              <w:jc w:val="center"/>
              <w:rPr>
                <w:rFonts w:hint="eastAsia" w:ascii="仿宋_GB2312" w:eastAsia="仿宋_GB2312"/>
                <w:b/>
                <w:color w:val="auto"/>
                <w:sz w:val="24"/>
                <w:highlight w:val="none"/>
                <w:lang w:val="en-US" w:eastAsia="zh-CN"/>
              </w:rPr>
            </w:pPr>
            <w:r>
              <w:rPr>
                <w:rFonts w:hint="eastAsia" w:ascii="仿宋_GB2312" w:eastAsia="仿宋_GB2312"/>
                <w:b/>
                <w:color w:val="auto"/>
                <w:sz w:val="24"/>
                <w:highlight w:val="none"/>
                <w:lang w:val="en-US" w:eastAsia="zh-CN"/>
              </w:rPr>
              <w:t xml:space="preserve">序号</w:t>
            </w:r>
            <w:r/>
          </w:p>
        </w:tc>
        <w:tc>
          <w:tcPr>
            <w:tcW w:w="4562"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项目名称</w:t>
            </w:r>
            <w:r/>
          </w:p>
        </w:tc>
        <w:tc>
          <w:tcPr>
            <w:tcW w:w="2143"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综合单价</w:t>
            </w:r>
            <w:r/>
          </w:p>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（元/</w:t>
            </w:r>
            <w:r>
              <w:rPr>
                <w:rFonts w:hint="eastAsia" w:ascii="仿宋_GB2312" w:eastAsia="仿宋_GB2312"/>
                <w:b/>
                <w:color w:val="auto"/>
                <w:sz w:val="24"/>
                <w:highlight w:val="none"/>
                <w:lang w:val="en-US" w:eastAsia="zh-CN"/>
              </w:rPr>
              <w:t xml:space="preserve">年</w:t>
            </w:r>
            <w:r>
              <w:rPr>
                <w:rFonts w:hint="eastAsia" w:ascii="仿宋_GB2312" w:eastAsia="仿宋_GB2312"/>
                <w:b/>
                <w:color w:val="auto"/>
                <w:sz w:val="24"/>
                <w:highlight w:val="none"/>
              </w:rPr>
              <w:t xml:space="preserve">）</w:t>
            </w:r>
            <w:r/>
          </w:p>
        </w:tc>
        <w:tc>
          <w:tcPr>
            <w:tcW w:w="1578" w:type="dxa"/>
            <w:vAlign w:val="center"/>
            <w:textDirection w:val="lrTb"/>
            <w:noWrap w:val="false"/>
          </w:tcPr>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合计</w:t>
            </w:r>
            <w:r/>
          </w:p>
          <w:p>
            <w:pPr>
              <w:jc w:val="center"/>
              <w:rPr>
                <w:rFonts w:ascii="仿宋_GB2312" w:eastAsia="仿宋_GB2312"/>
                <w:b/>
                <w:color w:val="auto"/>
                <w:sz w:val="24"/>
                <w:highlight w:val="none"/>
              </w:rPr>
            </w:pPr>
            <w:r>
              <w:rPr>
                <w:rFonts w:hint="eastAsia" w:ascii="仿宋_GB2312" w:eastAsia="仿宋_GB2312"/>
                <w:b/>
                <w:color w:val="auto"/>
                <w:sz w:val="24"/>
                <w:highlight w:val="none"/>
              </w:rPr>
              <w:t xml:space="preserve">(元/</w:t>
            </w:r>
            <w:r>
              <w:rPr>
                <w:rFonts w:hint="eastAsia" w:ascii="仿宋_GB2312" w:eastAsia="仿宋_GB2312"/>
                <w:b/>
                <w:color w:val="auto"/>
                <w:sz w:val="24"/>
                <w:highlight w:val="none"/>
                <w:lang w:val="en-US" w:eastAsia="zh-CN"/>
              </w:rPr>
              <w:t xml:space="preserve">二</w:t>
            </w:r>
            <w:r>
              <w:rPr>
                <w:rFonts w:hint="eastAsia" w:ascii="仿宋_GB2312" w:eastAsia="仿宋_GB2312"/>
                <w:b/>
                <w:color w:val="auto"/>
                <w:sz w:val="24"/>
                <w:highlight w:val="none"/>
              </w:rPr>
              <w:t xml:space="preserve">年)</w:t>
            </w:r>
            <w:r/>
          </w:p>
        </w:tc>
      </w:tr>
      <w:tr>
        <w:trPr>
          <w:trHeight w:val="894"/>
        </w:trPr>
        <w:tc>
          <w:tcPr>
            <w:tcW w:w="835" w:type="dxa"/>
            <w:vAlign w:val="center"/>
            <w:textDirection w:val="lrTb"/>
            <w:noWrap w:val="false"/>
          </w:tcPr>
          <w:p>
            <w:pPr>
              <w:jc w:val="center"/>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t xml:space="preserve">1</w:t>
            </w:r>
            <w:r/>
          </w:p>
        </w:tc>
        <w:tc>
          <w:tcPr>
            <w:tcW w:w="4562"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t xml:space="preserve"> </w:t>
            </w:r>
            <w:r>
              <w:rPr>
                <w:rFonts w:hint="eastAsia" w:ascii="仿宋_GB2312" w:eastAsia="仿宋_GB2312"/>
                <w:color w:val="auto"/>
                <w:sz w:val="24"/>
                <w:highlight w:val="none"/>
                <w:lang w:eastAsia="zh-CN"/>
              </w:rPr>
              <w:t xml:space="preserve">东台市中医院256排及64排CT维保项目</w:t>
            </w:r>
            <w:r/>
          </w:p>
        </w:tc>
        <w:tc>
          <w:tcPr>
            <w:tcW w:w="2143"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r>
            <w:r/>
          </w:p>
        </w:tc>
        <w:tc>
          <w:tcPr>
            <w:tcW w:w="1578" w:type="dxa"/>
            <w:vAlign w:val="center"/>
            <w:textDirection w:val="lrTb"/>
            <w:noWrap w:val="false"/>
          </w:tcPr>
          <w:p>
            <w:pPr>
              <w:jc w:val="center"/>
              <w:rPr>
                <w:rFonts w:ascii="仿宋_GB2312" w:eastAsia="仿宋_GB2312"/>
                <w:color w:val="auto"/>
                <w:sz w:val="24"/>
                <w:highlight w:val="none"/>
              </w:rPr>
            </w:pPr>
            <w:r>
              <w:rPr>
                <w:rFonts w:ascii="仿宋_GB2312" w:eastAsia="仿宋_GB2312"/>
                <w:color w:val="auto"/>
                <w:sz w:val="24"/>
                <w:highlight w:val="none"/>
              </w:rPr>
            </w:r>
            <w:r/>
          </w:p>
        </w:tc>
      </w:tr>
      <w:tr>
        <w:trPr>
          <w:trHeight w:val="835"/>
        </w:trPr>
        <w:tc>
          <w:tcPr>
            <w:tcW w:w="835" w:type="dxa"/>
            <w:vAlign w:val="center"/>
            <w:textDirection w:val="lrTb"/>
            <w:noWrap w:val="false"/>
          </w:tcPr>
          <w:p>
            <w:pPr>
              <w:jc w:val="center"/>
              <w:rPr>
                <w:rFonts w:hint="default" w:ascii="仿宋_GB2312" w:eastAsia="仿宋_GB2312"/>
                <w:b/>
                <w:color w:val="auto"/>
                <w:sz w:val="24"/>
                <w:highlight w:val="none"/>
                <w:lang w:val="en-US" w:eastAsia="zh-CN"/>
              </w:rPr>
            </w:pPr>
            <w:r>
              <w:rPr>
                <w:rFonts w:hint="eastAsia" w:ascii="仿宋_GB2312" w:eastAsia="仿宋_GB2312"/>
                <w:b/>
                <w:color w:val="auto"/>
                <w:sz w:val="24"/>
                <w:highlight w:val="none"/>
                <w:lang w:val="en-US" w:eastAsia="zh-CN"/>
              </w:rPr>
              <w:t xml:space="preserve">2</w:t>
            </w:r>
            <w:r/>
          </w:p>
        </w:tc>
        <w:tc>
          <w:tcPr>
            <w:gridSpan w:val="3"/>
            <w:tcW w:w="8283" w:type="dxa"/>
            <w:vAlign w:val="center"/>
            <w:textDirection w:val="lrTb"/>
            <w:noWrap w:val="false"/>
          </w:tcPr>
          <w:p>
            <w:pPr>
              <w:jc w:val="center"/>
              <w:rPr>
                <w:rFonts w:ascii="仿宋_GB2312" w:eastAsia="仿宋_GB2312"/>
                <w:color w:val="auto"/>
                <w:sz w:val="24"/>
                <w:highlight w:val="none"/>
              </w:rPr>
            </w:pPr>
            <w:r>
              <w:rPr>
                <w:rFonts w:hint="eastAsia" w:ascii="仿宋_GB2312" w:eastAsia="仿宋_GB2312"/>
                <w:b/>
                <w:color w:val="auto"/>
                <w:sz w:val="24"/>
                <w:highlight w:val="none"/>
              </w:rPr>
              <w:t xml:space="preserve">总计</w:t>
            </w:r>
            <w:r/>
          </w:p>
        </w:tc>
      </w:tr>
    </w:tbl>
    <w:p>
      <w:pPr>
        <w:ind w:firstLine="420"/>
        <w:rPr>
          <w:rFonts w:hint="eastAsia" w:ascii="仿宋_GB2312" w:eastAsia="仿宋_GB2312"/>
          <w:color w:val="auto"/>
          <w:sz w:val="24"/>
          <w:highlight w:val="none"/>
        </w:rPr>
      </w:pPr>
      <w:r>
        <w:rPr>
          <w:rFonts w:hint="eastAsia" w:ascii="仿宋_GB2312" w:eastAsia="仿宋_GB2312"/>
          <w:color w:val="auto"/>
          <w:sz w:val="24"/>
          <w:highlight w:val="none"/>
        </w:rPr>
        <w:t xml:space="preserve">注：投标人履约过程中的人工、设备、差旅、住宿、保险、税金、验收、后期服务(如有)、招投标费用、利润、与项目相关的其他所有费用等</w:t>
      </w:r>
      <w:r/>
    </w:p>
    <w:p>
      <w:pPr>
        <w:ind w:firstLine="420"/>
        <w:rPr>
          <w:rFonts w:ascii="仿宋_GB2312" w:eastAsia="仿宋_GB2312"/>
          <w:color w:val="auto"/>
          <w:sz w:val="24"/>
          <w:highlight w:val="none"/>
        </w:rPr>
      </w:pPr>
      <w:r>
        <w:rPr>
          <w:rFonts w:ascii="仿宋_GB2312" w:eastAsia="仿宋_GB2312"/>
          <w:color w:val="auto"/>
          <w:sz w:val="24"/>
          <w:highlight w:val="none"/>
        </w:rPr>
      </w:r>
      <w:r/>
    </w:p>
    <w:p>
      <w:pPr>
        <w:ind w:firstLine="240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法定代表人或</w:t>
      </w:r>
      <w:r>
        <w:rPr>
          <w:rFonts w:hint="eastAsia" w:ascii="仿宋_GB2312" w:hAnsi="Calibri" w:eastAsia="仿宋_GB2312"/>
          <w:color w:val="auto"/>
          <w:sz w:val="24"/>
          <w:highlight w:val="none"/>
        </w:rPr>
        <w:t xml:space="preserve">被授权人（</w:t>
      </w:r>
      <w:r>
        <w:rPr>
          <w:rFonts w:hint="eastAsia" w:ascii="仿宋_GB2312" w:eastAsia="仿宋_GB2312"/>
          <w:color w:val="auto"/>
          <w:sz w:val="24"/>
          <w:highlight w:val="none"/>
        </w:rPr>
        <w:t xml:space="preserve">签字</w:t>
      </w:r>
      <w:r>
        <w:rPr>
          <w:rFonts w:hint="eastAsia" w:ascii="仿宋_GB2312" w:hAnsi="Calibri" w:eastAsia="仿宋_GB2312"/>
          <w:color w:val="auto"/>
          <w:sz w:val="24"/>
          <w:highlight w:val="none"/>
        </w:rPr>
        <w:t xml:space="preserve">）</w:t>
      </w:r>
      <w:r>
        <w:rPr>
          <w:rFonts w:hint="eastAsia" w:ascii="仿宋_GB2312" w:eastAsia="仿宋_GB2312"/>
          <w:color w:val="auto"/>
          <w:sz w:val="24"/>
          <w:highlight w:val="none"/>
        </w:rPr>
        <w:t xml:space="preserve">：</w:t>
      </w:r>
      <w:r/>
    </w:p>
    <w:p>
      <w:pPr>
        <w:ind w:firstLine="3360"/>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投标人（盖单位公章）：</w:t>
      </w:r>
      <w:r/>
    </w:p>
    <w:p>
      <w:pPr>
        <w:ind w:firstLine="1200"/>
        <w:jc w:val="right"/>
        <w:spacing w:line="600" w:lineRule="exact"/>
        <w:rPr>
          <w:rFonts w:ascii="仿宋_GB2312" w:eastAsia="仿宋_GB2312"/>
          <w:color w:val="auto"/>
          <w:sz w:val="24"/>
          <w:highlight w:val="none"/>
        </w:rPr>
      </w:pPr>
      <w:r>
        <w:rPr>
          <w:rFonts w:hint="eastAsia" w:ascii="仿宋_GB2312" w:eastAsia="仿宋_GB2312"/>
          <w:color w:val="auto"/>
          <w:sz w:val="24"/>
          <w:highlight w:val="none"/>
        </w:rPr>
        <w:t xml:space="preserve">      </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年</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日</w:t>
      </w:r>
      <w:r/>
    </w:p>
    <w:p>
      <w:pPr>
        <w:pStyle w:val="822"/>
        <w:jc w:val="center"/>
        <w:spacing w:beforeAutospacing="0" w:afterAutospacing="0"/>
        <w:rPr>
          <w:color w:val="auto"/>
          <w:highlight w:val="none"/>
        </w:rPr>
      </w:pPr>
      <w:r>
        <w:rPr>
          <w:rFonts w:ascii="仿宋_GB2312" w:eastAsia="仿宋_GB2312"/>
          <w:color w:val="auto"/>
          <w:sz w:val="24"/>
          <w:highlight w:val="none"/>
        </w:rPr>
        <w:br w:type="page" w:clear="all"/>
      </w:r>
      <w:r/>
    </w:p>
    <w:p>
      <w:pPr>
        <w:pStyle w:val="822"/>
        <w:jc w:val="center"/>
        <w:spacing w:beforeAutospacing="0" w:afterAutospacing="0"/>
        <w:rPr>
          <w:color w:val="auto"/>
          <w:highlight w:val="none"/>
        </w:rPr>
      </w:pPr>
      <w:r>
        <w:rPr>
          <w:rFonts w:hint="eastAsia" w:ascii="黑体" w:hAnsi="宋体" w:eastAsia="黑体" w:cs="黑体"/>
          <w:b/>
          <w:color w:val="auto"/>
          <w:sz w:val="32"/>
          <w:szCs w:val="32"/>
          <w:highlight w:val="none"/>
        </w:rPr>
        <w:t xml:space="preserve">十三、技术要求响应及偏离表（分包号：**）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bl>
    <w:p>
      <w:pPr>
        <w:pStyle w:val="82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center"/>
        <w:spacing w:beforeAutospacing="0" w:afterAutospacing="0"/>
        <w:rPr>
          <w:color w:val="auto"/>
          <w:highlight w:val="none"/>
        </w:rPr>
      </w:pPr>
      <w:r/>
      <w:bookmarkStart w:id="192" w:name="_Hlt26955054"/>
      <w:r>
        <w:rPr>
          <w:rFonts w:hint="eastAsia" w:ascii="黑体" w:hAnsi="宋体" w:eastAsia="黑体" w:cs="黑体"/>
          <w:b/>
          <w:color w:val="auto"/>
          <w:sz w:val="32"/>
          <w:szCs w:val="32"/>
          <w:highlight w:val="none"/>
        </w:rPr>
        <w:t xml:space="preserve">十四、商务要求响应及偏离表（分包号：**）</w:t>
      </w:r>
      <w:r/>
    </w:p>
    <w:tbl>
      <w:tblPr>
        <w:tblStyle w:val="815"/>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bookmarkStart w:id="193" w:name="_Hlt26671372"/>
            <w:r/>
            <w:bookmarkStart w:id="194" w:name="_Hlt26955056"/>
            <w:r/>
            <w:bookmarkStart w:id="195" w:name="_Hlt26580838"/>
            <w:r/>
            <w:bookmarkStart w:id="196" w:name="_Hlt26671343"/>
            <w:r/>
            <w:bookmarkStart w:id="197" w:name="_Hlt24879081"/>
            <w:r/>
            <w:bookmarkStart w:id="198" w:name="_Hlt26782999"/>
            <w:r/>
            <w:bookmarkStart w:id="199" w:name="_Hlt26955064"/>
            <w:r/>
            <w:bookmarkStart w:id="200" w:name="_Hlt26609391"/>
            <w:r>
              <w:rPr>
                <w:rFonts w:hint="eastAsia" w:ascii="宋体" w:hAnsi="宋体" w:eastAsia="宋体" w:cs="宋体"/>
                <w:color w:val="auto"/>
                <w:highlight w:val="none"/>
              </w:rPr>
              <w:t xml:space="preserve">序号</w:t>
            </w:r>
            <w:bookmarkEnd w:id="193"/>
            <w:r/>
            <w:bookmarkEnd w:id="194"/>
            <w:r/>
            <w:bookmarkEnd w:id="195"/>
            <w:r/>
            <w:bookmarkEnd w:id="196"/>
            <w:r/>
            <w:bookmarkEnd w:id="197"/>
            <w:r/>
            <w:bookmarkEnd w:id="198"/>
            <w:r/>
            <w:bookmarkEnd w:id="199"/>
            <w:r/>
            <w:bookmarkEnd w:id="200"/>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证明</w:t>
            </w:r>
            <w:r/>
          </w:p>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2"/>
              <w:jc w:val="center"/>
              <w:spacing w:beforeAutospacing="0" w:afterAutospacing="0"/>
              <w:rPr>
                <w:color w:val="auto"/>
                <w:highlight w:val="none"/>
              </w:rPr>
            </w:pPr>
            <w:r>
              <w:rPr>
                <w:color w:val="auto"/>
                <w:highlight w:val="none"/>
              </w:rPr>
              <w:t xml:space="preserve"> </w:t>
            </w:r>
            <w:r/>
          </w:p>
        </w:tc>
      </w:tr>
    </w:tbl>
    <w:p>
      <w:pPr>
        <w:pStyle w:val="822"/>
        <w:jc w:val="both"/>
        <w:spacing w:beforeAutospacing="0" w:afterAutospacing="0"/>
        <w:rPr>
          <w:color w:val="auto"/>
          <w:highlight w:val="none"/>
        </w:rPr>
      </w:pPr>
      <w:r>
        <w:rPr>
          <w:rFonts w:hint="eastAsia" w:ascii="宋体" w:hAnsi="宋体" w:eastAsia="宋体" w:cs="宋体"/>
          <w:color w:val="auto"/>
          <w:highlight w:val="none"/>
        </w:rPr>
        <w:t xml:space="preserve">注： 行数不够，可自行添加。</w:t>
      </w:r>
      <w:r/>
    </w:p>
    <w:p>
      <w:pPr>
        <w:pStyle w:val="822"/>
        <w:jc w:val="both"/>
        <w:spacing w:beforeAutospacing="0" w:afterAutospacing="0" w:line="480" w:lineRule="auto"/>
        <w:rPr>
          <w:color w:val="auto"/>
          <w:highlight w:val="none"/>
        </w:rPr>
      </w:pPr>
      <w:r>
        <w:rPr>
          <w:color w:val="auto"/>
          <w:highlight w:val="none"/>
        </w:rPr>
        <w:t xml:space="preserve"> </w:t>
      </w:r>
      <w:r/>
    </w:p>
    <w:p>
      <w:pPr>
        <w:pStyle w:val="822"/>
        <w:jc w:val="both"/>
        <w:spacing w:beforeAutospacing="0" w:afterAutospacing="0" w:line="480" w:lineRule="auto"/>
        <w:rPr>
          <w:color w:val="auto"/>
          <w:highlight w:val="none"/>
        </w:rPr>
      </w:pPr>
      <w:r>
        <w:rPr>
          <w:color w:val="auto"/>
          <w:highlight w:val="none"/>
        </w:rPr>
        <w:t xml:space="preserve"> </w:t>
      </w:r>
      <w:r/>
    </w:p>
    <w:p>
      <w:pPr>
        <w:pStyle w:val="822"/>
        <w:jc w:val="center"/>
        <w:spacing w:beforeAutospacing="0" w:afterAutospacing="0"/>
        <w:rPr>
          <w:color w:val="auto"/>
          <w:highlight w:val="none"/>
        </w:rPr>
      </w:pPr>
      <w:r/>
      <w:bookmarkStart w:id="201" w:name="_Hlt26609389"/>
      <w:r/>
      <w:bookmarkStart w:id="202" w:name="_格式2__法定代表人授权书"/>
      <w:r/>
      <w:bookmarkStart w:id="203" w:name="_Hlt26955066"/>
      <w:r/>
      <w:bookmarkStart w:id="204" w:name="_Toc462564146"/>
      <w:r/>
      <w:bookmarkStart w:id="205" w:name="_Hlt26671374"/>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t xml:space="preserve"> </w:t>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both"/>
        <w:spacing w:beforeAutospacing="0" w:afterAutospacing="0"/>
        <w:rPr>
          <w:color w:val="auto"/>
          <w:highlight w:val="none"/>
        </w:rPr>
      </w:pPr>
      <w:r>
        <w:rPr>
          <w:color w:val="auto"/>
          <w:highlight w:val="none"/>
        </w:rPr>
      </w:r>
      <w:r>
        <w:rPr>
          <w:color w:val="auto"/>
          <w:highlight w:val="none"/>
        </w:rPr>
      </w:r>
      <w:r/>
    </w:p>
    <w:p>
      <w:pPr>
        <w:pStyle w:val="822"/>
        <w:jc w:val="both"/>
        <w:spacing w:beforeAutospacing="0" w:afterAutospacing="0"/>
        <w:rPr>
          <w:color w:val="auto"/>
          <w:highlight w:val="none"/>
        </w:rPr>
      </w:pPr>
      <w:r>
        <w:rPr>
          <w:color w:val="auto"/>
          <w:highlight w:val="none"/>
        </w:rPr>
      </w:r>
      <w:r>
        <w:rPr>
          <w:color w:val="auto"/>
          <w:highlight w:val="none"/>
        </w:rPr>
      </w:r>
      <w:r/>
    </w:p>
    <w:p>
      <w:pPr>
        <w:pStyle w:val="822"/>
        <w:jc w:val="both"/>
        <w:spacing w:beforeAutospacing="0" w:afterAutospacing="0"/>
        <w:rPr>
          <w:color w:val="auto"/>
          <w:highlight w:val="none"/>
        </w:rPr>
      </w:pPr>
      <w:r>
        <w:rPr>
          <w:color w:val="auto"/>
          <w:highlight w:val="none"/>
        </w:rPr>
      </w:r>
      <w:r/>
    </w:p>
    <w:p>
      <w:pPr>
        <w:pStyle w:val="822"/>
        <w:jc w:val="center"/>
        <w:spacing w:beforeAutospacing="0" w:afterAutospacing="0"/>
        <w:rPr>
          <w:i w:val="0"/>
          <w:iCs/>
          <w:color w:val="auto"/>
          <w:highlight w:val="none"/>
        </w:rPr>
      </w:pPr>
      <w:r>
        <w:rPr>
          <w:rFonts w:hint="eastAsia" w:ascii="黑体" w:hAnsi="宋体" w:eastAsia="黑体" w:cs="黑体"/>
          <w:b/>
          <w:i w:val="0"/>
          <w:iCs/>
          <w:color w:val="auto"/>
          <w:sz w:val="32"/>
          <w:szCs w:val="32"/>
          <w:highlight w:val="none"/>
          <w:u w:val="single"/>
        </w:rPr>
        <w:t xml:space="preserve">十五、开标一览表</w:t>
      </w:r>
      <w:r/>
    </w:p>
    <w:p>
      <w:pPr>
        <w:pStyle w:val="822"/>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822"/>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822"/>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822"/>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815"/>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2"/>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2"/>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2"/>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822"/>
        <w:jc w:val="both"/>
        <w:spacing w:beforeAutospacing="0" w:afterAutospacing="0"/>
        <w:rPr>
          <w:color w:val="auto"/>
          <w:highlight w:val="none"/>
        </w:rPr>
      </w:pPr>
      <w:r>
        <w:rPr>
          <w:color w:val="auto"/>
          <w:highlight w:val="none"/>
        </w:rPr>
        <w:t xml:space="preserve"> </w:t>
      </w:r>
      <w:r/>
    </w:p>
    <w:p>
      <w:pPr>
        <w:pStyle w:val="822"/>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822"/>
        <w:ind w:firstLine="480"/>
        <w:jc w:val="both"/>
        <w:spacing w:beforeAutospacing="0" w:afterAutospacing="0"/>
        <w:rPr>
          <w:color w:val="auto"/>
          <w:highlight w:val="none"/>
        </w:rPr>
      </w:pPr>
      <w:r>
        <w:rPr>
          <w:color w:val="auto"/>
          <w:highlight w:val="none"/>
        </w:rPr>
        <w:t xml:space="preserve"> </w:t>
      </w:r>
      <w:r/>
    </w:p>
    <w:p>
      <w:pPr>
        <w:pStyle w:val="825"/>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jc w:val="center"/>
        <w:spacing w:before="50" w:after="50"/>
        <w:widowControl/>
        <w:rPr>
          <w:color w:val="auto"/>
          <w:highlight w:val="none"/>
        </w:rPr>
      </w:pPr>
      <w:r>
        <w:rPr>
          <w:color w:val="auto"/>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spacing w:before="50" w:after="50"/>
        <w:widowControl/>
        <w:rPr>
          <w:rFonts w:ascii="宋体" w:hAnsi="宋体" w:eastAsia="宋体" w:cs="宋体"/>
          <w:b/>
          <w:bCs/>
          <w:color w:val="auto"/>
          <w:sz w:val="24"/>
          <w:highlight w:val="none"/>
        </w:rPr>
      </w:pPr>
      <w:r>
        <w:rPr>
          <w:rFonts w:hint="eastAsia" w:ascii="宋体" w:hAnsi="宋体" w:eastAsia="宋体" w:cs="宋体"/>
          <w:b/>
          <w:bCs/>
          <w:color w:val="auto"/>
          <w:sz w:val="32"/>
          <w:szCs w:val="32"/>
          <w:highlight w:val="none"/>
        </w:rPr>
        <w:t xml:space="preserve">十六、技术方案、服务承诺、培训承诺等</w:t>
      </w:r>
      <w:r/>
    </w:p>
    <w:p>
      <w:pPr>
        <w:pStyle w:val="822"/>
        <w:jc w:val="both"/>
        <w:spacing w:beforeAutospacing="0" w:afterAutospacing="0"/>
        <w:tabs>
          <w:tab w:val="left" w:pos="2160" w:leader="none"/>
        </w:tabs>
        <w:rPr>
          <w:color w:val="auto"/>
          <w:highlight w:val="none"/>
        </w:rPr>
      </w:pPr>
      <w:r>
        <w:rPr>
          <w:color w:val="auto"/>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color w:val="auto"/>
          <w:sz w:val="32"/>
          <w:szCs w:val="32"/>
          <w:highlight w:val="none"/>
        </w:rPr>
      </w:pPr>
      <w:r>
        <w:rPr>
          <w:rFonts w:ascii="宋体" w:hAnsi="宋体" w:eastAsia="宋体" w:cs="宋体"/>
          <w:color w:val="auto"/>
          <w:sz w:val="32"/>
          <w:szCs w:val="32"/>
          <w:highlight w:val="none"/>
        </w:rPr>
      </w:r>
      <w:r/>
    </w:p>
    <w:p>
      <w:pPr>
        <w:ind w:firstLine="1600"/>
        <w:spacing w:line="499" w:lineRule="atLeast"/>
        <w:widowControl/>
        <w:rPr>
          <w:rFonts w:ascii="宋体" w:hAnsi="宋体" w:eastAsia="宋体" w:cs="宋体"/>
          <w:b/>
          <w:bCs/>
          <w:color w:val="auto"/>
          <w:sz w:val="24"/>
          <w:szCs w:val="24"/>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rPr>
          <w:rFonts w:hint="eastAsia" w:ascii="宋体" w:hAnsi="宋体" w:eastAsia="宋体" w:cs="宋体"/>
          <w:b/>
          <w:bCs/>
          <w:color w:val="auto"/>
          <w:sz w:val="32"/>
          <w:szCs w:val="32"/>
          <w:highlight w:val="none"/>
        </w:rPr>
      </w:r>
      <w:r/>
    </w:p>
    <w:p>
      <w:pPr>
        <w:ind w:firstLine="1600"/>
        <w:spacing w:line="499" w:lineRule="atLeas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十七、盐城市政府采购事前信用承诺书</w:t>
      </w:r>
      <w:r/>
    </w:p>
    <w:p>
      <w:pPr>
        <w:ind w:firstLine="64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（八）本人已认真阅读了上述承诺，并向本单位员工作了宣传教育。</w:t>
      </w:r>
      <w:r/>
    </w:p>
    <w:p>
      <w:pPr>
        <w:ind w:firstLine="462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62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法定代表人签名：</w:t>
      </w:r>
      <w:r/>
    </w:p>
    <w:p>
      <w:pPr>
        <w:ind w:left="4730" w:hanging="4012"/>
        <w:jc w:val="left"/>
        <w:spacing w:line="499"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供应商全称（加盖CA电子公章）：           日  期：</w:t>
      </w:r>
      <w:bookmarkEnd w:id="31"/>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177"/>
      <w:r/>
      <w:bookmarkEnd w:id="181"/>
      <w:r/>
      <w:bookmarkEnd w:id="186"/>
      <w:r/>
      <w:bookmarkEnd w:id="187"/>
      <w:r/>
      <w:bookmarkEnd w:id="189"/>
      <w:r/>
      <w:bookmarkEnd w:id="190"/>
      <w:r/>
      <w:bookmarkEnd w:id="191"/>
      <w:r/>
      <w:bookmarkEnd w:id="192"/>
      <w:r/>
      <w:bookmarkEnd w:id="201"/>
      <w:r/>
      <w:bookmarkEnd w:id="202"/>
      <w:r/>
      <w:bookmarkEnd w:id="203"/>
      <w:r/>
      <w:bookmarkEnd w:id="204"/>
      <w:r/>
      <w:bookmarkEnd w:id="205"/>
      <w:r/>
      <w:r/>
    </w:p>
    <w:p>
      <w:pPr>
        <w:pStyle w:val="822"/>
        <w:jc w:val="center"/>
        <w:spacing w:beforeAutospacing="0" w:afterAutospacing="0"/>
        <w:rPr>
          <w:rFonts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r>
      <w:r>
        <w:rPr>
          <w:rFonts w:hint="eastAsia" w:ascii="宋体" w:hAnsi="宋体" w:eastAsia="宋体" w:cs="宋体"/>
          <w:b/>
          <w:color w:val="auto"/>
          <w:sz w:val="32"/>
          <w:szCs w:val="32"/>
          <w:highlight w:val="none"/>
        </w:rPr>
      </w:r>
      <w:r/>
    </w:p>
    <w:p>
      <w:pPr>
        <w:pStyle w:val="822"/>
        <w:jc w:val="center"/>
        <w:spacing w:beforeAutospacing="0" w:afterAutospacing="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822"/>
        <w:jc w:val="both"/>
        <w:spacing w:before="290"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822"/>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822"/>
        <w:jc w:val="both"/>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822"/>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822"/>
        <w:jc w:val="both"/>
        <w:spacing w:beforeAutospacing="0" w:afterAutospacing="0" w:line="0" w:lineRule="atLeast"/>
        <w:rPr>
          <w:rFonts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822"/>
        <w:ind w:firstLine="480"/>
        <w:spacing w:beforeAutospacing="0" w:afterAutospacing="0" w:line="0" w:lineRule="atLeast"/>
        <w:widowControl/>
        <w:rPr>
          <w:rFonts w:ascii="宋体" w:hAnsi="宋体" w:eastAsia="宋体" w:cs="宋体"/>
          <w:color w:val="auto"/>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pStyle w:val="822"/>
        <w:ind w:firstLine="420"/>
        <w:jc w:val="both"/>
        <w:spacing w:beforeAutospacing="0" w:afterAutospacing="0"/>
        <w:rPr>
          <w:rFonts w:ascii="宋体" w:hAnsi="宋体" w:eastAsia="宋体" w:cs="宋体"/>
          <w:color w:val="auto"/>
          <w:highlight w:val="none"/>
        </w:rPr>
      </w:pPr>
      <w:r>
        <w:rPr>
          <w:rFonts w:hint="eastAsia" w:ascii="宋体" w:hAnsi="宋体" w:eastAsia="宋体" w:cs="宋体"/>
          <w:color w:val="auto"/>
          <w:highlight w:val="none"/>
        </w:rPr>
        <w:t xml:space="preserve"> </w:t>
      </w:r>
      <w:r/>
    </w:p>
    <w:p>
      <w:pPr>
        <w:rPr>
          <w:color w:val="auto"/>
          <w:highlight w:val="none"/>
        </w:rPr>
      </w:pPr>
      <w:r>
        <w:rPr>
          <w:color w:val="auto"/>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38">
    <w:name w:val="Heading 1 Char"/>
    <w:basedOn w:val="814"/>
    <w:link w:val="812"/>
    <w:uiPriority w:val="9"/>
    <w:rPr>
      <w:rFonts w:ascii="Arial" w:hAnsi="Arial" w:eastAsia="Arial" w:cs="Arial"/>
      <w:sz w:val="40"/>
      <w:szCs w:val="40"/>
    </w:rPr>
  </w:style>
  <w:style w:type="character" w:styleId="639">
    <w:name w:val="Heading 2 Char"/>
    <w:basedOn w:val="814"/>
    <w:link w:val="813"/>
    <w:uiPriority w:val="9"/>
    <w:rPr>
      <w:rFonts w:ascii="Arial" w:hAnsi="Arial" w:eastAsia="Arial" w:cs="Arial"/>
      <w:sz w:val="34"/>
    </w:rPr>
  </w:style>
  <w:style w:type="paragraph" w:styleId="640">
    <w:name w:val="Heading 3"/>
    <w:basedOn w:val="811"/>
    <w:next w:val="811"/>
    <w:link w:val="641"/>
    <w:uiPriority w:val="9"/>
    <w:unhideWhenUsed/>
    <w:qFormat/>
    <w:pPr>
      <w:keepLines/>
      <w:keepNext/>
      <w:spacing w:before="320" w:after="200"/>
      <w:outlineLvl w:val="2"/>
    </w:pPr>
    <w:rPr>
      <w:rFonts w:ascii="Arial" w:hAnsi="Arial" w:eastAsia="Arial" w:cs="Arial"/>
      <w:sz w:val="30"/>
      <w:szCs w:val="30"/>
    </w:rPr>
  </w:style>
  <w:style w:type="character" w:styleId="641">
    <w:name w:val="Heading 3 Char"/>
    <w:basedOn w:val="814"/>
    <w:link w:val="640"/>
    <w:uiPriority w:val="9"/>
    <w:rPr>
      <w:rFonts w:ascii="Arial" w:hAnsi="Arial" w:eastAsia="Arial" w:cs="Arial"/>
      <w:sz w:val="30"/>
      <w:szCs w:val="30"/>
    </w:rPr>
  </w:style>
  <w:style w:type="paragraph" w:styleId="642">
    <w:name w:val="Heading 4"/>
    <w:basedOn w:val="811"/>
    <w:next w:val="811"/>
    <w:link w:val="643"/>
    <w:uiPriority w:val="9"/>
    <w:unhideWhenUsed/>
    <w:qFormat/>
    <w:pPr>
      <w:keepLines/>
      <w:keepNext/>
      <w:spacing w:before="320" w:after="200"/>
      <w:outlineLvl w:val="3"/>
    </w:pPr>
    <w:rPr>
      <w:rFonts w:ascii="Arial" w:hAnsi="Arial" w:eastAsia="Arial" w:cs="Arial"/>
      <w:b/>
      <w:bCs/>
      <w:sz w:val="26"/>
      <w:szCs w:val="26"/>
    </w:rPr>
  </w:style>
  <w:style w:type="character" w:styleId="643">
    <w:name w:val="Heading 4 Char"/>
    <w:basedOn w:val="814"/>
    <w:link w:val="642"/>
    <w:uiPriority w:val="9"/>
    <w:rPr>
      <w:rFonts w:ascii="Arial" w:hAnsi="Arial" w:eastAsia="Arial" w:cs="Arial"/>
      <w:b/>
      <w:bCs/>
      <w:sz w:val="26"/>
      <w:szCs w:val="26"/>
    </w:rPr>
  </w:style>
  <w:style w:type="paragraph" w:styleId="644">
    <w:name w:val="Heading 5"/>
    <w:basedOn w:val="811"/>
    <w:next w:val="811"/>
    <w:link w:val="645"/>
    <w:uiPriority w:val="9"/>
    <w:unhideWhenUsed/>
    <w:qFormat/>
    <w:pPr>
      <w:keepLines/>
      <w:keepNext/>
      <w:spacing w:before="320" w:after="200"/>
      <w:outlineLvl w:val="4"/>
    </w:pPr>
    <w:rPr>
      <w:rFonts w:ascii="Arial" w:hAnsi="Arial" w:eastAsia="Arial" w:cs="Arial"/>
      <w:b/>
      <w:bCs/>
      <w:sz w:val="24"/>
      <w:szCs w:val="24"/>
    </w:rPr>
  </w:style>
  <w:style w:type="character" w:styleId="645">
    <w:name w:val="Heading 5 Char"/>
    <w:basedOn w:val="814"/>
    <w:link w:val="644"/>
    <w:uiPriority w:val="9"/>
    <w:rPr>
      <w:rFonts w:ascii="Arial" w:hAnsi="Arial" w:eastAsia="Arial" w:cs="Arial"/>
      <w:b/>
      <w:bCs/>
      <w:sz w:val="24"/>
      <w:szCs w:val="24"/>
    </w:rPr>
  </w:style>
  <w:style w:type="paragraph" w:styleId="646">
    <w:name w:val="Heading 6"/>
    <w:basedOn w:val="811"/>
    <w:next w:val="811"/>
    <w:link w:val="647"/>
    <w:uiPriority w:val="9"/>
    <w:unhideWhenUsed/>
    <w:qFormat/>
    <w:pPr>
      <w:keepLines/>
      <w:keepNext/>
      <w:spacing w:before="320" w:after="200"/>
      <w:outlineLvl w:val="5"/>
    </w:pPr>
    <w:rPr>
      <w:rFonts w:ascii="Arial" w:hAnsi="Arial" w:eastAsia="Arial" w:cs="Arial"/>
      <w:b/>
      <w:bCs/>
      <w:sz w:val="22"/>
      <w:szCs w:val="22"/>
    </w:rPr>
  </w:style>
  <w:style w:type="character" w:styleId="647">
    <w:name w:val="Heading 6 Char"/>
    <w:basedOn w:val="814"/>
    <w:link w:val="646"/>
    <w:uiPriority w:val="9"/>
    <w:rPr>
      <w:rFonts w:ascii="Arial" w:hAnsi="Arial" w:eastAsia="Arial" w:cs="Arial"/>
      <w:b/>
      <w:bCs/>
      <w:sz w:val="22"/>
      <w:szCs w:val="22"/>
    </w:rPr>
  </w:style>
  <w:style w:type="paragraph" w:styleId="648">
    <w:name w:val="Heading 7"/>
    <w:basedOn w:val="811"/>
    <w:next w:val="811"/>
    <w:link w:val="649"/>
    <w:uiPriority w:val="9"/>
    <w:unhideWhenUsed/>
    <w:qFormat/>
    <w:pPr>
      <w:keepLines/>
      <w:keepNext/>
      <w:spacing w:before="320" w:after="200"/>
      <w:outlineLvl w:val="6"/>
    </w:pPr>
    <w:rPr>
      <w:rFonts w:ascii="Arial" w:hAnsi="Arial" w:eastAsia="Arial" w:cs="Arial"/>
      <w:b/>
      <w:bCs/>
      <w:i/>
      <w:iCs/>
      <w:sz w:val="22"/>
      <w:szCs w:val="22"/>
    </w:rPr>
  </w:style>
  <w:style w:type="character" w:styleId="649">
    <w:name w:val="Heading 7 Char"/>
    <w:basedOn w:val="814"/>
    <w:link w:val="648"/>
    <w:uiPriority w:val="9"/>
    <w:rPr>
      <w:rFonts w:ascii="Arial" w:hAnsi="Arial" w:eastAsia="Arial" w:cs="Arial"/>
      <w:b/>
      <w:bCs/>
      <w:i/>
      <w:iCs/>
      <w:sz w:val="22"/>
      <w:szCs w:val="22"/>
    </w:rPr>
  </w:style>
  <w:style w:type="paragraph" w:styleId="650">
    <w:name w:val="Heading 8"/>
    <w:basedOn w:val="811"/>
    <w:next w:val="811"/>
    <w:link w:val="651"/>
    <w:uiPriority w:val="9"/>
    <w:unhideWhenUsed/>
    <w:qFormat/>
    <w:pPr>
      <w:keepLines/>
      <w:keepNext/>
      <w:spacing w:before="320" w:after="200"/>
      <w:outlineLvl w:val="7"/>
    </w:pPr>
    <w:rPr>
      <w:rFonts w:ascii="Arial" w:hAnsi="Arial" w:eastAsia="Arial" w:cs="Arial"/>
      <w:i/>
      <w:iCs/>
      <w:sz w:val="22"/>
      <w:szCs w:val="22"/>
    </w:rPr>
  </w:style>
  <w:style w:type="character" w:styleId="651">
    <w:name w:val="Heading 8 Char"/>
    <w:basedOn w:val="814"/>
    <w:link w:val="650"/>
    <w:uiPriority w:val="9"/>
    <w:rPr>
      <w:rFonts w:ascii="Arial" w:hAnsi="Arial" w:eastAsia="Arial" w:cs="Arial"/>
      <w:i/>
      <w:iCs/>
      <w:sz w:val="22"/>
      <w:szCs w:val="22"/>
    </w:rPr>
  </w:style>
  <w:style w:type="paragraph" w:styleId="652">
    <w:name w:val="Heading 9"/>
    <w:basedOn w:val="811"/>
    <w:next w:val="811"/>
    <w:link w:val="653"/>
    <w:uiPriority w:val="9"/>
    <w:unhideWhenUsed/>
    <w:qFormat/>
    <w:pPr>
      <w:keepLines/>
      <w:keepNext/>
      <w:spacing w:before="320" w:after="200"/>
      <w:outlineLvl w:val="8"/>
    </w:pPr>
    <w:rPr>
      <w:rFonts w:ascii="Arial" w:hAnsi="Arial" w:eastAsia="Arial" w:cs="Arial"/>
      <w:i/>
      <w:iCs/>
      <w:sz w:val="21"/>
      <w:szCs w:val="21"/>
    </w:rPr>
  </w:style>
  <w:style w:type="character" w:styleId="653">
    <w:name w:val="Heading 9 Char"/>
    <w:basedOn w:val="814"/>
    <w:link w:val="652"/>
    <w:uiPriority w:val="9"/>
    <w:rPr>
      <w:rFonts w:ascii="Arial" w:hAnsi="Arial" w:eastAsia="Arial" w:cs="Arial"/>
      <w:i/>
      <w:iCs/>
      <w:sz w:val="21"/>
      <w:szCs w:val="21"/>
    </w:rPr>
  </w:style>
  <w:style w:type="paragraph" w:styleId="654">
    <w:name w:val="List Paragraph"/>
    <w:basedOn w:val="811"/>
    <w:uiPriority w:val="34"/>
    <w:qFormat/>
    <w:pPr>
      <w:contextualSpacing/>
      <w:ind w:left="720"/>
    </w:pPr>
  </w:style>
  <w:style w:type="paragraph" w:styleId="655">
    <w:name w:val="No Spacing"/>
    <w:uiPriority w:val="1"/>
    <w:qFormat/>
    <w:pPr>
      <w:spacing w:before="0" w:after="0" w:line="240" w:lineRule="auto"/>
    </w:pPr>
  </w:style>
  <w:style w:type="paragraph" w:styleId="656">
    <w:name w:val="Title"/>
    <w:basedOn w:val="811"/>
    <w:next w:val="811"/>
    <w:link w:val="657"/>
    <w:uiPriority w:val="10"/>
    <w:qFormat/>
    <w:pPr>
      <w:contextualSpacing/>
      <w:spacing w:before="300" w:after="200"/>
    </w:pPr>
    <w:rPr>
      <w:sz w:val="48"/>
      <w:szCs w:val="48"/>
    </w:rPr>
  </w:style>
  <w:style w:type="character" w:styleId="657">
    <w:name w:val="Title Char"/>
    <w:basedOn w:val="814"/>
    <w:link w:val="656"/>
    <w:uiPriority w:val="10"/>
    <w:rPr>
      <w:sz w:val="48"/>
      <w:szCs w:val="48"/>
    </w:rPr>
  </w:style>
  <w:style w:type="paragraph" w:styleId="658">
    <w:name w:val="Subtitle"/>
    <w:basedOn w:val="811"/>
    <w:next w:val="811"/>
    <w:link w:val="659"/>
    <w:uiPriority w:val="11"/>
    <w:qFormat/>
    <w:pPr>
      <w:spacing w:before="200" w:after="200"/>
    </w:pPr>
    <w:rPr>
      <w:sz w:val="24"/>
      <w:szCs w:val="24"/>
    </w:rPr>
  </w:style>
  <w:style w:type="character" w:styleId="659">
    <w:name w:val="Subtitle Char"/>
    <w:basedOn w:val="814"/>
    <w:link w:val="658"/>
    <w:uiPriority w:val="11"/>
    <w:rPr>
      <w:sz w:val="24"/>
      <w:szCs w:val="24"/>
    </w:rPr>
  </w:style>
  <w:style w:type="paragraph" w:styleId="660">
    <w:name w:val="Quote"/>
    <w:basedOn w:val="811"/>
    <w:next w:val="811"/>
    <w:link w:val="661"/>
    <w:uiPriority w:val="29"/>
    <w:qFormat/>
    <w:pPr>
      <w:ind w:left="720" w:right="720"/>
    </w:pPr>
    <w:rPr>
      <w:i/>
    </w:rPr>
  </w:style>
  <w:style w:type="character" w:styleId="661">
    <w:name w:val="Quote Char"/>
    <w:link w:val="660"/>
    <w:uiPriority w:val="29"/>
    <w:rPr>
      <w:i/>
    </w:rPr>
  </w:style>
  <w:style w:type="paragraph" w:styleId="662">
    <w:name w:val="Intense Quote"/>
    <w:basedOn w:val="811"/>
    <w:next w:val="811"/>
    <w:link w:val="6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3">
    <w:name w:val="Intense Quote Char"/>
    <w:link w:val="662"/>
    <w:uiPriority w:val="30"/>
    <w:rPr>
      <w:i/>
    </w:rPr>
  </w:style>
  <w:style w:type="character" w:styleId="664">
    <w:name w:val="Header Char"/>
    <w:basedOn w:val="814"/>
    <w:link w:val="821"/>
    <w:uiPriority w:val="99"/>
  </w:style>
  <w:style w:type="character" w:styleId="665">
    <w:name w:val="Footer Char"/>
    <w:basedOn w:val="814"/>
    <w:link w:val="820"/>
    <w:uiPriority w:val="99"/>
  </w:style>
  <w:style w:type="paragraph" w:styleId="666">
    <w:name w:val="Caption"/>
    <w:basedOn w:val="811"/>
    <w:next w:val="811"/>
    <w:uiPriority w:val="35"/>
    <w:semiHidden/>
    <w:unhideWhenUsed/>
    <w:qFormat/>
    <w:pPr>
      <w:spacing w:line="276" w:lineRule="auto"/>
    </w:pPr>
    <w:rPr>
      <w:b/>
      <w:bCs/>
      <w:color w:val="4f81bd" w:themeColor="accent1"/>
      <w:sz w:val="18"/>
      <w:szCs w:val="18"/>
    </w:rPr>
  </w:style>
  <w:style w:type="character" w:styleId="667">
    <w:name w:val="Caption Char"/>
    <w:basedOn w:val="666"/>
    <w:link w:val="820"/>
    <w:uiPriority w:val="99"/>
  </w:style>
  <w:style w:type="table" w:styleId="668">
    <w:name w:val="Table Grid Light"/>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4"/>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4"/>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6"/>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1"/>
    <w:basedOn w:val="811"/>
    <w:next w:val="811"/>
    <w:uiPriority w:val="0"/>
    <w:qFormat/>
    <w:pPr>
      <w:jc w:val="center"/>
      <w:keepLines/>
      <w:keepNext/>
      <w:spacing w:before="240" w:beforeAutospacing="0" w:after="120" w:afterAutospacing="0" w:line="300" w:lineRule="auto"/>
      <w:outlineLvl w:val="0"/>
    </w:pPr>
    <w:rPr>
      <w:rFonts w:ascii="宋体"/>
      <w:b/>
      <w:sz w:val="32"/>
    </w:rPr>
  </w:style>
  <w:style w:type="paragraph" w:styleId="813">
    <w:name w:val="Heading 2"/>
    <w:basedOn w:val="811"/>
    <w:next w:val="8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4" w:default="1">
    <w:name w:val="Default Paragraph Font"/>
    <w:uiPriority w:val="1"/>
    <w:semiHidden/>
    <w:unhideWhenUsed/>
    <w:qFormat/>
  </w:style>
  <w:style w:type="table" w:styleId="815" w:default="1">
    <w:name w:val="Normal Table"/>
    <w:uiPriority w:val="99"/>
    <w:semiHidden/>
    <w:unhideWhenUsed/>
    <w:qFormat/>
    <w:tblPr>
      <w:tblCellMar>
        <w:left w:w="108" w:type="dxa"/>
        <w:top w:w="0" w:type="dxa"/>
        <w:right w:w="108" w:type="dxa"/>
        <w:bottom w:w="0" w:type="dxa"/>
      </w:tblCellMar>
    </w:tblPr>
  </w:style>
  <w:style w:type="paragraph" w:styleId="816">
    <w:name w:val="Body Text First Indent"/>
    <w:basedOn w:val="817"/>
    <w:uiPriority w:val="0"/>
    <w:qFormat/>
    <w:pPr>
      <w:ind w:firstLine="420"/>
      <w:spacing w:after="120" w:line="240" w:lineRule="auto"/>
    </w:pPr>
    <w:rPr>
      <w:rFonts w:ascii="宋体" w:hAnsi="宋体" w:eastAsia="宋体"/>
      <w:sz w:val="24"/>
    </w:rPr>
  </w:style>
  <w:style w:type="paragraph" w:styleId="817">
    <w:name w:val="Body Text"/>
    <w:basedOn w:val="811"/>
    <w:uiPriority w:val="0"/>
    <w:qFormat/>
    <w:pPr>
      <w:spacing w:after="120" w:afterAutospacing="0"/>
    </w:pPr>
  </w:style>
  <w:style w:type="paragraph" w:styleId="818">
    <w:name w:val="annotation text"/>
    <w:basedOn w:val="811"/>
    <w:uiPriority w:val="0"/>
    <w:qFormat/>
    <w:pPr>
      <w:jc w:val="left"/>
    </w:pPr>
  </w:style>
  <w:style w:type="paragraph" w:styleId="819">
    <w:name w:val="Body Text Indent 2"/>
    <w:basedOn w:val="811"/>
    <w:uiPriority w:val="0"/>
    <w:qFormat/>
    <w:pPr>
      <w:ind w:firstLine="480"/>
    </w:pPr>
    <w:rPr>
      <w:rFonts w:ascii="仿宋_GB2312" w:eastAsia="仿宋_GB2312"/>
      <w:sz w:val="24"/>
    </w:rPr>
  </w:style>
  <w:style w:type="paragraph" w:styleId="820">
    <w:name w:val="Footer"/>
    <w:basedOn w:val="811"/>
    <w:link w:val="827"/>
    <w:uiPriority w:val="0"/>
    <w:qFormat/>
    <w:pPr>
      <w:jc w:val="left"/>
      <w:tabs>
        <w:tab w:val="center" w:pos="4153" w:leader="none"/>
        <w:tab w:val="right" w:pos="8306" w:leader="none"/>
      </w:tabs>
    </w:pPr>
    <w:rPr>
      <w:sz w:val="18"/>
      <w:szCs w:val="18"/>
    </w:rPr>
  </w:style>
  <w:style w:type="paragraph" w:styleId="821">
    <w:name w:val="Header"/>
    <w:basedOn w:val="811"/>
    <w:link w:val="826"/>
    <w:uiPriority w:val="0"/>
    <w:qFormat/>
    <w:pPr>
      <w:jc w:val="center"/>
      <w:tabs>
        <w:tab w:val="center" w:pos="4153" w:leader="none"/>
        <w:tab w:val="right" w:pos="8306" w:leader="none"/>
      </w:tabs>
      <w:pBdr>
        <w:bottom w:val="single" w:color="auto" w:sz="6" w:space="1"/>
      </w:pBdr>
    </w:pPr>
    <w:rPr>
      <w:sz w:val="18"/>
      <w:szCs w:val="18"/>
    </w:rPr>
  </w:style>
  <w:style w:type="paragraph" w:styleId="822">
    <w:name w:val="Normal (Web)"/>
    <w:basedOn w:val="811"/>
    <w:uiPriority w:val="0"/>
    <w:qFormat/>
    <w:pPr>
      <w:jc w:val="left"/>
      <w:spacing w:beforeAutospacing="1" w:afterAutospacing="1"/>
    </w:pPr>
    <w:rPr>
      <w:rFonts w:cs="Times New Roman"/>
      <w:sz w:val="24"/>
    </w:rPr>
  </w:style>
  <w:style w:type="table" w:styleId="823">
    <w:name w:val="Table Grid"/>
    <w:basedOn w:val="815"/>
    <w:uiPriority w:val="9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4" w:customStyle="1">
    <w:name w:val="_Style 2"/>
    <w:basedOn w:val="811"/>
    <w:next w:val="811"/>
    <w:uiPriority w:val="0"/>
    <w:qFormat/>
    <w:pPr>
      <w:ind w:firstLine="420"/>
    </w:pPr>
    <w:rPr>
      <w:rFonts w:ascii="Times New Roman" w:hAnsi="Times New Roman" w:eastAsia="宋体" w:cs="Times New Roman"/>
    </w:rPr>
  </w:style>
  <w:style w:type="paragraph" w:styleId="825" w:customStyle="1">
    <w:name w:val="Default"/>
    <w:basedOn w:val="811"/>
    <w:uiPriority w:val="0"/>
    <w:semiHidden/>
    <w:qFormat/>
    <w:pPr>
      <w:jc w:val="left"/>
    </w:pPr>
    <w:rPr>
      <w:rFonts w:ascii="宋体" w:hAnsi="Calibri" w:cs="宋体"/>
      <w:color w:val="000000"/>
      <w:sz w:val="24"/>
    </w:rPr>
  </w:style>
  <w:style w:type="character" w:styleId="826" w:customStyle="1">
    <w:name w:val="页眉 Char"/>
    <w:basedOn w:val="814"/>
    <w:link w:val="821"/>
    <w:uiPriority w:val="0"/>
    <w:qFormat/>
    <w:rPr>
      <w:rFonts w:asciiTheme="minorHAnsi" w:hAnsiTheme="minorHAnsi" w:eastAsiaTheme="minorEastAsia" w:cstheme="minorBidi"/>
      <w:sz w:val="18"/>
      <w:szCs w:val="18"/>
    </w:rPr>
  </w:style>
  <w:style w:type="character" w:styleId="827" w:customStyle="1">
    <w:name w:val="页脚 Char"/>
    <w:basedOn w:val="814"/>
    <w:link w:val="820"/>
    <w:uiPriority w:val="0"/>
    <w:qFormat/>
    <w:rPr>
      <w:rFonts w:asciiTheme="minorHAnsi" w:hAnsiTheme="minorHAnsi" w:eastAsiaTheme="minorEastAsia" w:cstheme="minorBidi"/>
      <w:sz w:val="18"/>
      <w:szCs w:val="18"/>
    </w:rPr>
  </w:style>
  <w:style w:type="paragraph" w:styleId="828" w:customStyle="1">
    <w:name w:val="普通正文"/>
    <w:basedOn w:val="811"/>
    <w:uiPriority w:val="0"/>
    <w:qFormat/>
    <w:pPr>
      <w:ind w:firstLine="480"/>
      <w:jc w:val="left"/>
      <w:spacing w:before="120" w:after="120" w:line="360" w:lineRule="auto"/>
    </w:pPr>
    <w:rPr>
      <w:rFonts w:ascii="Arial" w:hAnsi="Arial" w:eastAsia="等线" w:cs="Arial"/>
      <w:sz w:val="24"/>
      <w:szCs w:val="24"/>
    </w:rPr>
  </w:style>
  <w:style w:type="paragraph" w:styleId="829" w:customStyle="1">
    <w:name w:val="正文首行缩进 21"/>
    <w:basedOn w:val="830"/>
    <w:uiPriority w:val="0"/>
    <w:qFormat/>
    <w:pPr>
      <w:ind w:firstLine="420"/>
    </w:pPr>
  </w:style>
  <w:style w:type="paragraph" w:styleId="830" w:customStyle="1">
    <w:name w:val="正文文本缩进1"/>
    <w:basedOn w:val="811"/>
    <w:uiPriority w:val="0"/>
    <w:qFormat/>
    <w:pPr>
      <w:ind w:left="420"/>
      <w:spacing w:after="120"/>
    </w:pPr>
  </w:style>
  <w:style w:type="paragraph" w:styleId="831" w:customStyle="1">
    <w:name w:val="BodyText1I"/>
    <w:basedOn w:val="832"/>
    <w:uiPriority w:val="0"/>
    <w:qFormat/>
    <w:pPr>
      <w:ind w:firstLine="420"/>
      <w:jc w:val="left"/>
      <w:spacing w:line="480" w:lineRule="auto"/>
    </w:pPr>
    <w:rPr>
      <w:rFonts w:ascii="Times New Roman" w:hAnsi="Times New Roman" w:eastAsia="宋体"/>
      <w:sz w:val="24"/>
      <w:szCs w:val="20"/>
      <w:lang w:val="zh-CN" w:eastAsia="zh-CN" w:bidi="ar-SA"/>
    </w:rPr>
  </w:style>
  <w:style w:type="paragraph" w:styleId="832" w:customStyle="1">
    <w:name w:val="BodyText"/>
    <w:basedOn w:val="811"/>
    <w:uiPriority w:val="0"/>
    <w:qFormat/>
    <w:pPr>
      <w:jc w:val="left"/>
      <w:spacing w:line="480" w:lineRule="auto"/>
    </w:pPr>
    <w:rPr>
      <w:rFonts w:ascii="宋体" w:hAnsi="Times New Roman" w:eastAsia="宋体"/>
      <w:sz w:val="24"/>
      <w:szCs w:val="20"/>
      <w:lang w:val="zh-CN" w:eastAsia="zh-CN" w:bidi="ar-SA"/>
    </w:rPr>
  </w:style>
  <w:style w:type="character" w:styleId="833" w:customStyle="1">
    <w:name w:val="NormalCharacter"/>
    <w:uiPriority w:val="0"/>
    <w:qFormat/>
  </w:style>
  <w:style w:type="paragraph" w:styleId="834" w:customStyle="1">
    <w:name w:val="Table Paragraph"/>
    <w:basedOn w:val="811"/>
    <w:uiPriority w:val="1"/>
    <w:qFormat/>
    <w:pPr>
      <w:jc w:val="left"/>
      <w:spacing w:line="240" w:lineRule="auto"/>
      <w:widowControl w:val="off"/>
    </w:pPr>
    <w:rPr>
      <w:rFonts w:ascii="宋体" w:hAnsi="宋体" w:cs="宋体"/>
      <w:sz w:val="22"/>
      <w:szCs w:val="22"/>
      <w:lang w:val="zh-CN" w:bidi="zh-CN"/>
    </w:rPr>
  </w:style>
  <w:style w:type="numbering" w:styleId="8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张先生</cp:lastModifiedBy>
  <cp:revision>276</cp:revision>
  <dcterms:created xsi:type="dcterms:W3CDTF">2014-10-29T12:08:00Z</dcterms:created>
  <dcterms:modified xsi:type="dcterms:W3CDTF">2026-01-21T09:07:32Z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53CCCD1681A04A47A991FB3FACA76777_13</vt:lpwstr>
  </property>
  <property fmtid="{D5CDD505-2E9C-101B-9397-08002B2CF9AE}" pid="4" name="KSOTemplateDocerSaveRecord">
    <vt:lpwstr>eyJoZGlkIjoiZmM4OTVhODlkNWVkYzQwZTIxMDM4MTk3Y2IyZmUwNzciLCJ1c2VySWQiOiI0Nzk0NjQwNDUifQ==</vt:lpwstr>
  </property>
</Properties>
</file>